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page" w:tblpX="646" w:tblpY="796"/>
        <w:tblW w:w="5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tblGrid>
      <w:tr w:rsidR="007B6CF9" w:rsidRPr="00B3040B" w:rsidTr="007B6CF9">
        <w:trPr>
          <w:trHeight w:val="1360"/>
        </w:trPr>
        <w:tc>
          <w:tcPr>
            <w:tcW w:w="5647" w:type="dxa"/>
          </w:tcPr>
          <w:p w:rsidR="007B6CF9" w:rsidRPr="009150F7" w:rsidRDefault="007B6CF9" w:rsidP="007B6CF9">
            <w:pPr>
              <w:rPr>
                <w:rFonts w:ascii="Garamond" w:hAnsi="Garamond"/>
                <w:b/>
                <w:sz w:val="20"/>
                <w:szCs w:val="24"/>
              </w:rPr>
            </w:pPr>
            <w:bookmarkStart w:id="0" w:name="_GoBack"/>
            <w:bookmarkEnd w:id="0"/>
            <w:r w:rsidRPr="009150F7">
              <w:rPr>
                <w:rFonts w:ascii="Garamond" w:hAnsi="Garamond"/>
                <w:b/>
                <w:sz w:val="20"/>
                <w:szCs w:val="24"/>
              </w:rPr>
              <w:t xml:space="preserve">MINISTERE DE L’AGRICULTURE, DE ’ÉLEVAGE, </w:t>
            </w:r>
          </w:p>
          <w:p w:rsidR="007B6CF9" w:rsidRPr="009150F7" w:rsidRDefault="007B6CF9" w:rsidP="007B6CF9">
            <w:pPr>
              <w:rPr>
                <w:rFonts w:ascii="Garamond" w:hAnsi="Garamond"/>
                <w:sz w:val="20"/>
                <w:szCs w:val="24"/>
              </w:rPr>
            </w:pPr>
            <w:r w:rsidRPr="009150F7">
              <w:rPr>
                <w:rFonts w:ascii="Garamond" w:hAnsi="Garamond"/>
                <w:b/>
                <w:sz w:val="20"/>
                <w:szCs w:val="24"/>
              </w:rPr>
              <w:t>DE LA PÊCHE ET DE L’ALIMENTATION</w:t>
            </w:r>
          </w:p>
          <w:p w:rsidR="007B6CF9" w:rsidRPr="009150F7" w:rsidRDefault="007B6CF9" w:rsidP="007B6CF9">
            <w:pPr>
              <w:rPr>
                <w:rFonts w:ascii="Garamond" w:hAnsi="Garamond"/>
                <w:sz w:val="20"/>
                <w:szCs w:val="24"/>
              </w:rPr>
            </w:pPr>
            <w:r w:rsidRPr="009150F7">
              <w:rPr>
                <w:rFonts w:ascii="Garamond" w:hAnsi="Garamond"/>
                <w:sz w:val="20"/>
                <w:szCs w:val="24"/>
              </w:rPr>
              <w:t xml:space="preserve">            ---------------</w:t>
            </w:r>
          </w:p>
          <w:p w:rsidR="007B6CF9" w:rsidRPr="009150F7" w:rsidRDefault="007B6CF9" w:rsidP="007B6CF9">
            <w:pPr>
              <w:rPr>
                <w:rFonts w:ascii="Garamond" w:hAnsi="Garamond"/>
                <w:sz w:val="20"/>
                <w:szCs w:val="24"/>
              </w:rPr>
            </w:pPr>
            <w:r w:rsidRPr="009150F7">
              <w:rPr>
                <w:rFonts w:ascii="Garamond" w:hAnsi="Garamond"/>
                <w:sz w:val="20"/>
                <w:szCs w:val="24"/>
              </w:rPr>
              <w:t xml:space="preserve">SECRÉTARIAT GÉNÉRAL </w:t>
            </w:r>
          </w:p>
          <w:p w:rsidR="007B6CF9" w:rsidRPr="009150F7" w:rsidRDefault="007B6CF9" w:rsidP="007B6CF9">
            <w:pPr>
              <w:rPr>
                <w:rFonts w:ascii="Garamond" w:hAnsi="Garamond"/>
                <w:sz w:val="20"/>
                <w:szCs w:val="24"/>
              </w:rPr>
            </w:pPr>
            <w:r w:rsidRPr="009150F7">
              <w:rPr>
                <w:rFonts w:ascii="Garamond" w:hAnsi="Garamond"/>
                <w:sz w:val="20"/>
                <w:szCs w:val="24"/>
              </w:rPr>
              <w:t xml:space="preserve">              --------------</w:t>
            </w:r>
          </w:p>
          <w:p w:rsidR="007B6CF9" w:rsidRPr="0072406A" w:rsidRDefault="007B6CF9" w:rsidP="007B6CF9">
            <w:pPr>
              <w:rPr>
                <w:rFonts w:ascii="Garamond" w:hAnsi="Garamond"/>
                <w:sz w:val="18"/>
                <w:szCs w:val="24"/>
              </w:rPr>
            </w:pPr>
            <w:r w:rsidRPr="0072406A">
              <w:rPr>
                <w:rFonts w:ascii="Garamond" w:hAnsi="Garamond"/>
                <w:sz w:val="18"/>
                <w:szCs w:val="24"/>
              </w:rPr>
              <w:t xml:space="preserve">DIRECTION GÉNÉRALE DE L’AGENCE DE </w:t>
            </w:r>
          </w:p>
          <w:p w:rsidR="007B6CF9" w:rsidRPr="009150F7" w:rsidRDefault="007B6CF9" w:rsidP="007B6CF9">
            <w:pPr>
              <w:rPr>
                <w:rFonts w:ascii="Garamond" w:hAnsi="Garamond"/>
                <w:b/>
                <w:sz w:val="18"/>
                <w:szCs w:val="24"/>
              </w:rPr>
            </w:pPr>
            <w:r w:rsidRPr="0072406A">
              <w:rPr>
                <w:rFonts w:ascii="Garamond" w:hAnsi="Garamond"/>
                <w:sz w:val="18"/>
                <w:szCs w:val="24"/>
              </w:rPr>
              <w:t>DÉVELOPPEMENT AGRICOLE DU GABON</w:t>
            </w:r>
          </w:p>
          <w:p w:rsidR="007B6CF9" w:rsidRPr="00F2161A" w:rsidRDefault="007B6CF9" w:rsidP="007B6CF9">
            <w:pPr>
              <w:rPr>
                <w:rFonts w:ascii="Garamond" w:hAnsi="Garamond"/>
                <w:sz w:val="2"/>
                <w:szCs w:val="24"/>
              </w:rPr>
            </w:pPr>
            <w:r w:rsidRPr="009150F7">
              <w:rPr>
                <w:rFonts w:ascii="Garamond" w:hAnsi="Garamond"/>
                <w:sz w:val="20"/>
                <w:szCs w:val="24"/>
              </w:rPr>
              <w:t xml:space="preserve">              </w:t>
            </w:r>
          </w:p>
          <w:p w:rsidR="007B6CF9" w:rsidRDefault="007B6CF9" w:rsidP="007B6CF9">
            <w:pPr>
              <w:rPr>
                <w:rFonts w:ascii="Garamond" w:hAnsi="Garamond"/>
                <w:sz w:val="20"/>
                <w:szCs w:val="24"/>
              </w:rPr>
            </w:pPr>
            <w:r w:rsidRPr="009150F7">
              <w:rPr>
                <w:rFonts w:ascii="Garamond" w:hAnsi="Garamond"/>
                <w:b/>
                <w:sz w:val="20"/>
                <w:szCs w:val="24"/>
              </w:rPr>
              <w:t xml:space="preserve">           </w:t>
            </w:r>
            <w:r w:rsidRPr="009150F7">
              <w:rPr>
                <w:rFonts w:ascii="Garamond" w:hAnsi="Garamond"/>
                <w:sz w:val="20"/>
                <w:szCs w:val="24"/>
              </w:rPr>
              <w:t>----------------</w:t>
            </w:r>
          </w:p>
          <w:p w:rsidR="007B6CF9" w:rsidRPr="0072406A" w:rsidRDefault="007B6CF9" w:rsidP="007B6CF9">
            <w:pPr>
              <w:rPr>
                <w:rFonts w:ascii="Garamond" w:hAnsi="Garamond"/>
                <w:b/>
                <w:szCs w:val="24"/>
              </w:rPr>
            </w:pPr>
            <w:r w:rsidRPr="0072406A">
              <w:rPr>
                <w:rFonts w:ascii="Garamond" w:hAnsi="Garamond"/>
                <w:b/>
                <w:sz w:val="20"/>
                <w:szCs w:val="24"/>
              </w:rPr>
              <w:t>DIRECTION DE LA PRMOTION DES PARTENARIATS ET DE L’ENTREPRENARIAT RURAL</w:t>
            </w:r>
          </w:p>
        </w:tc>
      </w:tr>
    </w:tbl>
    <w:p w:rsidR="001016A7" w:rsidRDefault="001016A7" w:rsidP="001016A7">
      <w:pPr>
        <w:spacing w:after="0"/>
        <w:ind w:left="4962" w:right="-567"/>
        <w:jc w:val="both"/>
        <w:rPr>
          <w:rFonts w:ascii="Bookman Old Style" w:eastAsia="Times New Roman" w:hAnsi="Bookman Old Style" w:cs="Arial"/>
          <w:b/>
          <w:color w:val="1D2228"/>
          <w:sz w:val="20"/>
          <w:szCs w:val="20"/>
          <w:lang w:eastAsia="fr-FR"/>
        </w:rPr>
      </w:pPr>
      <w:r w:rsidRPr="00B3040B">
        <w:rPr>
          <w:noProof/>
          <w:lang w:eastAsia="fr-FR"/>
        </w:rPr>
        <w:drawing>
          <wp:anchor distT="0" distB="0" distL="114300" distR="114300" simplePos="0" relativeHeight="251659264" behindDoc="0" locked="0" layoutInCell="1" allowOverlap="1" wp14:anchorId="3A799A4B" wp14:editId="6621105A">
            <wp:simplePos x="0" y="0"/>
            <wp:positionH relativeFrom="column">
              <wp:posOffset>5166360</wp:posOffset>
            </wp:positionH>
            <wp:positionV relativeFrom="paragraph">
              <wp:posOffset>-365760</wp:posOffset>
            </wp:positionV>
            <wp:extent cx="1095375" cy="742950"/>
            <wp:effectExtent l="0" t="0" r="9525" b="0"/>
            <wp:wrapNone/>
            <wp:docPr id="87" name="Image 87" descr="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016A7" w:rsidRDefault="001016A7" w:rsidP="001016A7">
      <w:pPr>
        <w:spacing w:after="0"/>
        <w:ind w:left="4962" w:right="-567"/>
        <w:jc w:val="both"/>
        <w:rPr>
          <w:rFonts w:ascii="Bookman Old Style" w:eastAsia="Times New Roman" w:hAnsi="Bookman Old Style" w:cs="Arial"/>
          <w:b/>
          <w:color w:val="1D2228"/>
          <w:sz w:val="20"/>
          <w:szCs w:val="20"/>
          <w:lang w:eastAsia="fr-FR"/>
        </w:rPr>
      </w:pPr>
    </w:p>
    <w:p w:rsidR="001016A7" w:rsidRDefault="001016A7" w:rsidP="001016A7">
      <w:pPr>
        <w:spacing w:after="0"/>
        <w:ind w:left="4962" w:right="-567"/>
        <w:jc w:val="both"/>
        <w:rPr>
          <w:rFonts w:ascii="Bookman Old Style" w:eastAsia="Times New Roman" w:hAnsi="Bookman Old Style" w:cs="Arial"/>
          <w:b/>
          <w:color w:val="1D2228"/>
          <w:sz w:val="20"/>
          <w:szCs w:val="20"/>
          <w:lang w:eastAsia="fr-FR"/>
        </w:rPr>
      </w:pPr>
    </w:p>
    <w:p w:rsidR="001016A7" w:rsidRDefault="001016A7" w:rsidP="001016A7">
      <w:pPr>
        <w:jc w:val="both"/>
        <w:rPr>
          <w:rFonts w:ascii="Bookman Old Style" w:eastAsia="Times New Roman" w:hAnsi="Bookman Old Style" w:cs="Calibri"/>
          <w:color w:val="000000"/>
          <w:sz w:val="20"/>
          <w:szCs w:val="18"/>
          <w:lang w:eastAsia="fr-FR"/>
        </w:rPr>
      </w:pPr>
    </w:p>
    <w:p w:rsidR="001016A7" w:rsidRDefault="001016A7" w:rsidP="001016A7">
      <w:pPr>
        <w:pStyle w:val="Paragraphedeliste"/>
        <w:jc w:val="both"/>
        <w:rPr>
          <w:rFonts w:ascii="Bookman Old Style" w:eastAsia="Times New Roman" w:hAnsi="Bookman Old Style" w:cs="Calibri"/>
          <w:color w:val="000000"/>
          <w:sz w:val="20"/>
          <w:szCs w:val="18"/>
          <w:lang w:eastAsia="fr-FR"/>
        </w:rPr>
      </w:pPr>
    </w:p>
    <w:p w:rsidR="001016A7" w:rsidRDefault="001016A7" w:rsidP="001016A7">
      <w:pPr>
        <w:pStyle w:val="Paragraphedeliste"/>
        <w:jc w:val="both"/>
        <w:rPr>
          <w:rFonts w:ascii="Bookman Old Style" w:eastAsia="Times New Roman" w:hAnsi="Bookman Old Style" w:cs="Calibri"/>
          <w:color w:val="000000"/>
          <w:sz w:val="20"/>
          <w:szCs w:val="18"/>
          <w:lang w:eastAsia="fr-FR"/>
        </w:rPr>
      </w:pPr>
    </w:p>
    <w:p w:rsidR="001016A7" w:rsidRPr="00AF1FF8" w:rsidRDefault="001016A7" w:rsidP="001016A7">
      <w:pPr>
        <w:spacing w:after="0" w:line="240" w:lineRule="auto"/>
        <w:jc w:val="center"/>
        <w:rPr>
          <w:rFonts w:ascii="Bookman Old Style" w:eastAsia="Times New Roman" w:hAnsi="Bookman Old Style" w:cs="Calibri"/>
          <w:b/>
          <w:color w:val="000000"/>
          <w:sz w:val="10"/>
          <w:szCs w:val="18"/>
          <w:lang w:eastAsia="fr-FR"/>
        </w:rPr>
      </w:pPr>
    </w:p>
    <w:p w:rsidR="00623C1E" w:rsidRDefault="001016A7" w:rsidP="001016A7">
      <w:pPr>
        <w:spacing w:after="0" w:line="240" w:lineRule="auto"/>
        <w:jc w:val="center"/>
        <w:rPr>
          <w:rFonts w:ascii="Bookman Old Style" w:eastAsia="Times New Roman" w:hAnsi="Bookman Old Style" w:cs="Calibri"/>
          <w:b/>
          <w:color w:val="000000"/>
          <w:sz w:val="20"/>
          <w:szCs w:val="18"/>
          <w:lang w:eastAsia="fr-FR"/>
        </w:rPr>
      </w:pPr>
      <w:r w:rsidRPr="00623C1E">
        <w:rPr>
          <w:rFonts w:ascii="Bookman Old Style" w:eastAsia="Times New Roman" w:hAnsi="Bookman Old Style" w:cs="Calibri"/>
          <w:b/>
          <w:color w:val="000000"/>
          <w:sz w:val="20"/>
          <w:szCs w:val="18"/>
          <w:lang w:eastAsia="fr-FR"/>
        </w:rPr>
        <w:t xml:space="preserve">TERMES DE REFERENCE </w:t>
      </w:r>
      <w:r w:rsidR="00892EC2" w:rsidRPr="00623C1E">
        <w:rPr>
          <w:rFonts w:ascii="Bookman Old Style" w:eastAsia="Times New Roman" w:hAnsi="Bookman Old Style" w:cs="Calibri"/>
          <w:b/>
          <w:color w:val="000000"/>
          <w:sz w:val="20"/>
          <w:szCs w:val="18"/>
          <w:lang w:eastAsia="fr-FR"/>
        </w:rPr>
        <w:t xml:space="preserve">POUR LA </w:t>
      </w:r>
      <w:r w:rsidRPr="00623C1E">
        <w:rPr>
          <w:rFonts w:ascii="Bookman Old Style" w:eastAsia="Times New Roman" w:hAnsi="Bookman Old Style" w:cs="Calibri"/>
          <w:b/>
          <w:color w:val="000000"/>
          <w:sz w:val="20"/>
          <w:szCs w:val="18"/>
          <w:lang w:eastAsia="fr-FR"/>
        </w:rPr>
        <w:t xml:space="preserve">CONSTRUCTION D’UN BATIMENT </w:t>
      </w:r>
    </w:p>
    <w:p w:rsidR="00892EC2" w:rsidRPr="00623C1E" w:rsidRDefault="001016A7" w:rsidP="001016A7">
      <w:pPr>
        <w:spacing w:after="0" w:line="240" w:lineRule="auto"/>
        <w:jc w:val="center"/>
        <w:rPr>
          <w:rFonts w:ascii="Bookman Old Style" w:eastAsia="Times New Roman" w:hAnsi="Bookman Old Style" w:cs="Calibri"/>
          <w:b/>
          <w:color w:val="000000"/>
          <w:sz w:val="20"/>
          <w:szCs w:val="18"/>
          <w:lang w:eastAsia="fr-FR"/>
        </w:rPr>
      </w:pPr>
      <w:r w:rsidRPr="00623C1E">
        <w:rPr>
          <w:rFonts w:ascii="Bookman Old Style" w:eastAsia="Times New Roman" w:hAnsi="Bookman Old Style" w:cs="Calibri"/>
          <w:b/>
          <w:color w:val="000000"/>
          <w:sz w:val="20"/>
          <w:szCs w:val="18"/>
          <w:lang w:eastAsia="fr-FR"/>
        </w:rPr>
        <w:t>ABRITANT</w:t>
      </w:r>
      <w:r w:rsidR="00892EC2" w:rsidRPr="00623C1E">
        <w:rPr>
          <w:rFonts w:ascii="Bookman Old Style" w:eastAsia="Times New Roman" w:hAnsi="Bookman Old Style" w:cs="Calibri"/>
          <w:b/>
          <w:color w:val="000000"/>
          <w:sz w:val="20"/>
          <w:szCs w:val="18"/>
          <w:lang w:eastAsia="fr-FR"/>
        </w:rPr>
        <w:t xml:space="preserve"> LES SERVICES DU </w:t>
      </w:r>
      <w:r w:rsidRPr="00623C1E">
        <w:rPr>
          <w:rFonts w:ascii="Bookman Old Style" w:eastAsia="Times New Roman" w:hAnsi="Bookman Old Style" w:cs="Calibri"/>
          <w:b/>
          <w:color w:val="000000"/>
          <w:sz w:val="20"/>
          <w:szCs w:val="18"/>
          <w:lang w:eastAsia="fr-FR"/>
        </w:rPr>
        <w:t xml:space="preserve">LABORATOIRE D’ANALYSE </w:t>
      </w:r>
    </w:p>
    <w:p w:rsidR="00892EC2" w:rsidRPr="00623C1E" w:rsidRDefault="001016A7" w:rsidP="001016A7">
      <w:pPr>
        <w:spacing w:after="0" w:line="240" w:lineRule="auto"/>
        <w:jc w:val="center"/>
        <w:rPr>
          <w:rFonts w:ascii="Bookman Old Style" w:eastAsia="Times New Roman" w:hAnsi="Bookman Old Style" w:cs="Calibri"/>
          <w:b/>
          <w:color w:val="000000"/>
          <w:sz w:val="20"/>
          <w:szCs w:val="18"/>
          <w:lang w:eastAsia="fr-FR"/>
        </w:rPr>
      </w:pPr>
      <w:r w:rsidRPr="00623C1E">
        <w:rPr>
          <w:rFonts w:ascii="Bookman Old Style" w:eastAsia="Times New Roman" w:hAnsi="Bookman Old Style" w:cs="Calibri"/>
          <w:b/>
          <w:color w:val="000000"/>
          <w:sz w:val="20"/>
          <w:szCs w:val="18"/>
          <w:lang w:eastAsia="fr-FR"/>
        </w:rPr>
        <w:t>DES SOLS</w:t>
      </w:r>
      <w:r w:rsidR="00892EC2" w:rsidRPr="00623C1E">
        <w:rPr>
          <w:rFonts w:ascii="Bookman Old Style" w:eastAsia="Times New Roman" w:hAnsi="Bookman Old Style" w:cs="Calibri"/>
          <w:b/>
          <w:color w:val="000000"/>
          <w:sz w:val="20"/>
          <w:szCs w:val="18"/>
          <w:lang w:eastAsia="fr-FR"/>
        </w:rPr>
        <w:t xml:space="preserve"> ET DU LABORATOIRE DU SYSTEME </w:t>
      </w:r>
    </w:p>
    <w:p w:rsidR="001016A7" w:rsidRPr="00623C1E" w:rsidRDefault="00892EC2" w:rsidP="001016A7">
      <w:pPr>
        <w:spacing w:after="0" w:line="240" w:lineRule="auto"/>
        <w:jc w:val="center"/>
        <w:rPr>
          <w:rFonts w:ascii="Bookman Old Style" w:eastAsia="Times New Roman" w:hAnsi="Bookman Old Style" w:cs="Calibri"/>
          <w:b/>
          <w:color w:val="000000"/>
          <w:sz w:val="20"/>
          <w:szCs w:val="18"/>
          <w:lang w:eastAsia="fr-FR"/>
        </w:rPr>
      </w:pPr>
      <w:r w:rsidRPr="00623C1E">
        <w:rPr>
          <w:rFonts w:ascii="Bookman Old Style" w:eastAsia="Times New Roman" w:hAnsi="Bookman Old Style" w:cs="Calibri"/>
          <w:b/>
          <w:color w:val="000000"/>
          <w:sz w:val="20"/>
          <w:szCs w:val="18"/>
          <w:lang w:eastAsia="fr-FR"/>
        </w:rPr>
        <w:t>D’INFORMATIONS GEOGRAPHIQUES</w:t>
      </w:r>
    </w:p>
    <w:p w:rsidR="001016A7" w:rsidRDefault="001016A7" w:rsidP="001016A7">
      <w:pPr>
        <w:ind w:right="-567"/>
        <w:jc w:val="both"/>
        <w:rPr>
          <w:rFonts w:ascii="Bookman Old Style" w:eastAsia="Times New Roman" w:hAnsi="Bookman Old Style" w:cs="Calibri"/>
          <w:b/>
          <w:sz w:val="20"/>
          <w:szCs w:val="18"/>
          <w:lang w:eastAsia="fr-FR"/>
        </w:rPr>
      </w:pPr>
    </w:p>
    <w:p w:rsidR="008058D5" w:rsidRPr="004431D7" w:rsidRDefault="008058D5" w:rsidP="008058D5">
      <w:pPr>
        <w:pStyle w:val="Paragraphedeliste"/>
        <w:numPr>
          <w:ilvl w:val="0"/>
          <w:numId w:val="1"/>
        </w:numPr>
        <w:spacing w:after="0"/>
        <w:ind w:left="284" w:right="-567" w:hanging="284"/>
        <w:rPr>
          <w:rFonts w:ascii="Bookman Old Style" w:hAnsi="Bookman Old Style"/>
          <w:b/>
          <w:sz w:val="40"/>
        </w:rPr>
      </w:pPr>
      <w:r w:rsidRPr="004431D7">
        <w:rPr>
          <w:rFonts w:ascii="Bookman Old Style" w:hAnsi="Bookman Old Style"/>
          <w:b/>
          <w:szCs w:val="20"/>
        </w:rPr>
        <w:t xml:space="preserve">Contexte </w:t>
      </w:r>
    </w:p>
    <w:p w:rsidR="008058D5" w:rsidRPr="00CD13AA" w:rsidRDefault="008058D5" w:rsidP="008058D5">
      <w:pPr>
        <w:spacing w:after="0" w:line="240" w:lineRule="auto"/>
        <w:ind w:right="-567"/>
        <w:jc w:val="both"/>
        <w:rPr>
          <w:rFonts w:ascii="Bookman Old Style" w:hAnsi="Bookman Old Style" w:cs="Arial"/>
          <w:sz w:val="18"/>
          <w:szCs w:val="20"/>
        </w:rPr>
      </w:pPr>
      <w:r w:rsidRPr="00CD13AA">
        <w:rPr>
          <w:rFonts w:ascii="Bookman Old Style" w:hAnsi="Bookman Old Style" w:cs="Arial"/>
          <w:sz w:val="18"/>
          <w:szCs w:val="20"/>
        </w:rPr>
        <w:t>Le projet CAFI 2 s’inscrit dans le cadre des engagements pris par le Gabon vis-à-vis de la Communauté internationale afin de réduire ou éviter les émissions futures du secteur agricole grâce à l'optimisation de l'utilisation des terres aux fins de production de cultures vivrières.</w:t>
      </w:r>
    </w:p>
    <w:p w:rsidR="008058D5" w:rsidRPr="00CD13AA" w:rsidRDefault="008058D5" w:rsidP="008058D5">
      <w:pPr>
        <w:autoSpaceDE w:val="0"/>
        <w:autoSpaceDN w:val="0"/>
        <w:adjustRightInd w:val="0"/>
        <w:spacing w:after="0" w:line="240" w:lineRule="auto"/>
        <w:ind w:right="-569"/>
        <w:jc w:val="both"/>
        <w:rPr>
          <w:rFonts w:ascii="Bookman Old Style" w:hAnsi="Bookman Old Style"/>
          <w:sz w:val="18"/>
          <w:szCs w:val="20"/>
        </w:rPr>
      </w:pPr>
      <w:r w:rsidRPr="00CD13AA">
        <w:rPr>
          <w:rFonts w:ascii="Bookman Old Style" w:hAnsi="Bookman Old Style" w:cs="Arial"/>
          <w:sz w:val="18"/>
          <w:szCs w:val="20"/>
        </w:rPr>
        <w:t>Afin d'améliorer la capture du carbone et de réduire les émissions futures grâce à de meilleures initiatives d’aménagement des terres, le Gabon a sollicité et obtenu un financement afin de s’acquitter des engagements énoncés dans sa</w:t>
      </w:r>
      <w:r w:rsidRPr="00CD13AA">
        <w:rPr>
          <w:rFonts w:ascii="Bookman Old Style" w:hAnsi="Bookman Old Style"/>
          <w:sz w:val="18"/>
          <w:szCs w:val="20"/>
        </w:rPr>
        <w:t xml:space="preserve"> contribution déterminée au niveau national (CDN). Le pays entend donc (1) accroître le potentiel de séquestration du carbone forestier grâce à l'expansion de son réseau d'aires protégées et la protection de ses forêts contre tout empiètement et (</w:t>
      </w:r>
      <w:r w:rsidRPr="00CD13AA">
        <w:rPr>
          <w:rFonts w:ascii="Bookman Old Style" w:hAnsi="Bookman Old Style"/>
          <w:i/>
          <w:sz w:val="18"/>
          <w:szCs w:val="20"/>
        </w:rPr>
        <w:t>2) éviter ou réduire les émissions futures du secteur agricole tout en répondant aux besoins alimentaires des populations, grâce à l'optimisation de l'utilisation des terres et l’intensification intelligente ou raisonnée des activités agricole</w:t>
      </w:r>
      <w:r w:rsidRPr="00CD13AA">
        <w:rPr>
          <w:rFonts w:ascii="Bookman Old Style" w:hAnsi="Bookman Old Style"/>
          <w:sz w:val="18"/>
          <w:szCs w:val="20"/>
        </w:rPr>
        <w:t xml:space="preserve">s. </w:t>
      </w:r>
    </w:p>
    <w:p w:rsidR="008058D5" w:rsidRPr="00CD13AA" w:rsidRDefault="008058D5" w:rsidP="008058D5">
      <w:pPr>
        <w:autoSpaceDE w:val="0"/>
        <w:autoSpaceDN w:val="0"/>
        <w:adjustRightInd w:val="0"/>
        <w:spacing w:after="0" w:line="240" w:lineRule="auto"/>
        <w:ind w:right="-569"/>
        <w:jc w:val="both"/>
        <w:rPr>
          <w:rFonts w:ascii="Bookman Old Style" w:hAnsi="Bookman Old Style"/>
          <w:sz w:val="18"/>
          <w:szCs w:val="20"/>
        </w:rPr>
      </w:pPr>
      <w:r w:rsidRPr="00CD13AA">
        <w:rPr>
          <w:rFonts w:ascii="Bookman Old Style" w:hAnsi="Bookman Old Style"/>
          <w:sz w:val="18"/>
          <w:szCs w:val="20"/>
        </w:rPr>
        <w:t>Au regard du deuxième objectif de ce programme, baptisé CAFI 2, il s’intègre à la stratégie du Ministère de l’Agriculture, qui consiste à réduire la dépendance du Gabon à l’égard des importations de produits alimentaires par l’intensification de la production agricole. Ainsi, le Programme CAFI 2 (1) facilitera la réglementation du régime foncier et la procédure d'obtention de permis pour les zones de production agricole et, 2) fournira un appui technique au Ministère de l'Agriculture et à l’Agence de Développement Agricole du Gabon (ADAG), pour la conduite du processus d'optimisation de l'utilisation des terres.</w:t>
      </w:r>
    </w:p>
    <w:p w:rsidR="008058D5" w:rsidRDefault="008058D5" w:rsidP="008058D5">
      <w:pPr>
        <w:spacing w:after="0"/>
        <w:ind w:right="-567"/>
        <w:jc w:val="both"/>
        <w:rPr>
          <w:rFonts w:ascii="Bookman Old Style" w:hAnsi="Bookman Old Style"/>
          <w:sz w:val="18"/>
          <w:szCs w:val="20"/>
        </w:rPr>
      </w:pPr>
      <w:r w:rsidRPr="00CD13AA">
        <w:rPr>
          <w:rFonts w:ascii="Bookman Old Style" w:hAnsi="Bookman Old Style"/>
          <w:sz w:val="18"/>
          <w:szCs w:val="20"/>
        </w:rPr>
        <w:t>Dans cette optique, une partie de ce financement est destinée à l’ADAG pour la construction d’un laboratoire d’analyse des sols.</w:t>
      </w:r>
    </w:p>
    <w:p w:rsidR="008058D5" w:rsidRPr="00CD13AA" w:rsidRDefault="008058D5" w:rsidP="008058D5">
      <w:pPr>
        <w:spacing w:after="0"/>
        <w:ind w:right="-567"/>
        <w:jc w:val="both"/>
        <w:rPr>
          <w:rFonts w:ascii="Bookman Old Style" w:hAnsi="Bookman Old Style"/>
          <w:sz w:val="18"/>
          <w:szCs w:val="20"/>
        </w:rPr>
      </w:pPr>
    </w:p>
    <w:p w:rsidR="00501E43" w:rsidRPr="008D4D11" w:rsidRDefault="00501E43" w:rsidP="008D4D11">
      <w:pPr>
        <w:pStyle w:val="Paragraphedeliste"/>
        <w:numPr>
          <w:ilvl w:val="0"/>
          <w:numId w:val="1"/>
        </w:numPr>
        <w:ind w:left="284" w:right="-567" w:hanging="284"/>
        <w:jc w:val="both"/>
        <w:rPr>
          <w:rFonts w:ascii="Bookman Old Style" w:hAnsi="Bookman Old Style"/>
          <w:b/>
          <w:szCs w:val="20"/>
        </w:rPr>
      </w:pPr>
      <w:r w:rsidRPr="008D4D11">
        <w:rPr>
          <w:rFonts w:ascii="Bookman Old Style" w:hAnsi="Bookman Old Style"/>
          <w:b/>
          <w:szCs w:val="20"/>
        </w:rPr>
        <w:t>Présentation de l</w:t>
      </w:r>
      <w:r w:rsidR="008D4D11" w:rsidRPr="008D4D11">
        <w:rPr>
          <w:rFonts w:ascii="Bookman Old Style" w:hAnsi="Bookman Old Style"/>
          <w:b/>
          <w:szCs w:val="20"/>
        </w:rPr>
        <w:t>’Agence de Développement Agricole du Gabon (ADAG)</w:t>
      </w:r>
    </w:p>
    <w:p w:rsidR="003528B6" w:rsidRDefault="008D4D11" w:rsidP="00005D27">
      <w:pPr>
        <w:tabs>
          <w:tab w:val="left" w:pos="1753"/>
        </w:tabs>
        <w:spacing w:after="0"/>
        <w:ind w:right="-567"/>
        <w:jc w:val="both"/>
        <w:rPr>
          <w:rFonts w:ascii="Bookman Old Style" w:hAnsi="Bookman Old Style" w:cs="Arial"/>
          <w:sz w:val="18"/>
          <w:szCs w:val="20"/>
        </w:rPr>
      </w:pPr>
      <w:r w:rsidRPr="00005D27">
        <w:rPr>
          <w:rFonts w:ascii="Bookman Old Style" w:hAnsi="Bookman Old Style" w:cs="Arial"/>
          <w:sz w:val="18"/>
          <w:szCs w:val="20"/>
        </w:rPr>
        <w:t>L’Agence de Développement Ag</w:t>
      </w:r>
      <w:r w:rsidR="003528B6">
        <w:rPr>
          <w:rFonts w:ascii="Bookman Old Style" w:hAnsi="Bookman Old Style" w:cs="Arial"/>
          <w:sz w:val="18"/>
          <w:szCs w:val="20"/>
        </w:rPr>
        <w:t>ricole du Gabon</w:t>
      </w:r>
      <w:r w:rsidR="00B80F6A">
        <w:rPr>
          <w:rFonts w:ascii="Bookman Old Style" w:hAnsi="Bookman Old Style" w:cs="Arial"/>
          <w:sz w:val="18"/>
          <w:szCs w:val="20"/>
        </w:rPr>
        <w:t xml:space="preserve"> (</w:t>
      </w:r>
      <w:r w:rsidR="003528B6">
        <w:rPr>
          <w:rFonts w:ascii="Bookman Old Style" w:hAnsi="Bookman Old Style" w:cs="Arial"/>
          <w:sz w:val="18"/>
          <w:szCs w:val="20"/>
        </w:rPr>
        <w:t>ADAG</w:t>
      </w:r>
      <w:r w:rsidR="00B80F6A">
        <w:rPr>
          <w:rFonts w:ascii="Bookman Old Style" w:hAnsi="Bookman Old Style" w:cs="Arial"/>
          <w:sz w:val="18"/>
          <w:szCs w:val="20"/>
        </w:rPr>
        <w:t>)</w:t>
      </w:r>
      <w:r w:rsidR="003528B6">
        <w:rPr>
          <w:rFonts w:ascii="Bookman Old Style" w:hAnsi="Bookman Old Style" w:cs="Arial"/>
          <w:sz w:val="18"/>
          <w:szCs w:val="20"/>
        </w:rPr>
        <w:t xml:space="preserve"> est un</w:t>
      </w:r>
      <w:r w:rsidRPr="00005D27">
        <w:rPr>
          <w:rFonts w:ascii="Bookman Old Style" w:hAnsi="Bookman Old Style" w:cs="Arial"/>
          <w:sz w:val="18"/>
          <w:szCs w:val="20"/>
        </w:rPr>
        <w:t xml:space="preserve"> </w:t>
      </w:r>
      <w:r w:rsidR="003528B6">
        <w:rPr>
          <w:rFonts w:ascii="Bookman Old Style" w:hAnsi="Bookman Old Style" w:cs="Arial"/>
          <w:sz w:val="18"/>
          <w:szCs w:val="20"/>
        </w:rPr>
        <w:t>Organe de mise en œuvre de la politique de développement agricole du gouvernement. E</w:t>
      </w:r>
      <w:r w:rsidRPr="00005D27">
        <w:rPr>
          <w:rFonts w:ascii="Bookman Old Style" w:hAnsi="Bookman Old Style" w:cs="Arial"/>
          <w:sz w:val="18"/>
          <w:szCs w:val="20"/>
        </w:rPr>
        <w:t>tablissement public à caractère administratif doté de la personnalité juridique et jouissant de l’autonom</w:t>
      </w:r>
      <w:r w:rsidR="003528B6">
        <w:rPr>
          <w:rFonts w:ascii="Bookman Old Style" w:hAnsi="Bookman Old Style" w:cs="Arial"/>
          <w:sz w:val="18"/>
          <w:szCs w:val="20"/>
        </w:rPr>
        <w:t>ie administrative et financière, l’ADAG a été créée par décret n° ……/PR/</w:t>
      </w:r>
      <w:proofErr w:type="gramStart"/>
      <w:r w:rsidR="003528B6">
        <w:rPr>
          <w:rFonts w:ascii="Bookman Old Style" w:hAnsi="Bookman Old Style" w:cs="Arial"/>
          <w:sz w:val="18"/>
          <w:szCs w:val="20"/>
        </w:rPr>
        <w:t>MAEDR….</w:t>
      </w:r>
      <w:proofErr w:type="gramEnd"/>
      <w:r w:rsidR="003528B6">
        <w:rPr>
          <w:rFonts w:ascii="Bookman Old Style" w:hAnsi="Bookman Old Style" w:cs="Arial"/>
          <w:sz w:val="18"/>
          <w:szCs w:val="20"/>
        </w:rPr>
        <w:t xml:space="preserve">du ……., modifié par le décret n°……/PR/MAEDR… du     </w:t>
      </w:r>
      <w:r w:rsidRPr="00005D27">
        <w:rPr>
          <w:rFonts w:ascii="Bookman Old Style" w:hAnsi="Bookman Old Style" w:cs="Arial"/>
          <w:sz w:val="18"/>
          <w:szCs w:val="20"/>
        </w:rPr>
        <w:t xml:space="preserve"> </w:t>
      </w:r>
    </w:p>
    <w:p w:rsidR="003528B6" w:rsidRDefault="003528B6" w:rsidP="00005D27">
      <w:pPr>
        <w:tabs>
          <w:tab w:val="left" w:pos="1753"/>
        </w:tabs>
        <w:spacing w:after="0"/>
        <w:ind w:right="-567"/>
        <w:jc w:val="both"/>
        <w:rPr>
          <w:rFonts w:ascii="Bookman Old Style" w:hAnsi="Bookman Old Style" w:cs="Arial"/>
          <w:sz w:val="18"/>
          <w:szCs w:val="20"/>
        </w:rPr>
      </w:pPr>
    </w:p>
    <w:p w:rsidR="008D4D11" w:rsidRPr="00005D27" w:rsidRDefault="003528B6" w:rsidP="00005D27">
      <w:pPr>
        <w:tabs>
          <w:tab w:val="left" w:pos="1753"/>
        </w:tabs>
        <w:spacing w:after="0"/>
        <w:ind w:right="-567"/>
        <w:jc w:val="both"/>
        <w:rPr>
          <w:rFonts w:ascii="Bookman Old Style" w:hAnsi="Bookman Old Style" w:cs="Arial"/>
          <w:sz w:val="18"/>
          <w:szCs w:val="20"/>
        </w:rPr>
      </w:pPr>
      <w:r>
        <w:rPr>
          <w:rFonts w:ascii="Bookman Old Style" w:hAnsi="Bookman Old Style" w:cs="Arial"/>
          <w:sz w:val="18"/>
          <w:szCs w:val="20"/>
        </w:rPr>
        <w:t xml:space="preserve">Conformément au </w:t>
      </w:r>
      <w:r w:rsidRPr="00005D27">
        <w:rPr>
          <w:rFonts w:ascii="Bookman Old Style" w:hAnsi="Bookman Old Style" w:cs="Arial"/>
          <w:sz w:val="18"/>
          <w:szCs w:val="20"/>
        </w:rPr>
        <w:t>Décret n°000136/PR/MAEPG du 20 avril 2018</w:t>
      </w:r>
      <w:r>
        <w:rPr>
          <w:rFonts w:ascii="Bookman Old Style" w:hAnsi="Bookman Old Style" w:cs="Arial"/>
          <w:sz w:val="18"/>
          <w:szCs w:val="20"/>
        </w:rPr>
        <w:t xml:space="preserve"> fixant s</w:t>
      </w:r>
      <w:r w:rsidR="008D4D11" w:rsidRPr="00005D27">
        <w:rPr>
          <w:rFonts w:ascii="Bookman Old Style" w:hAnsi="Bookman Old Style" w:cs="Arial"/>
          <w:sz w:val="18"/>
          <w:szCs w:val="20"/>
        </w:rPr>
        <w:t>es statuts</w:t>
      </w:r>
      <w:r>
        <w:rPr>
          <w:rFonts w:ascii="Bookman Old Style" w:hAnsi="Bookman Old Style" w:cs="Arial"/>
          <w:sz w:val="18"/>
          <w:szCs w:val="20"/>
        </w:rPr>
        <w:t xml:space="preserve">, </w:t>
      </w:r>
      <w:r w:rsidR="00B80F6A">
        <w:rPr>
          <w:rFonts w:ascii="Bookman Old Style" w:hAnsi="Bookman Old Style" w:cs="Arial"/>
          <w:sz w:val="18"/>
          <w:szCs w:val="20"/>
        </w:rPr>
        <w:t>elle</w:t>
      </w:r>
      <w:r w:rsidR="00A71605">
        <w:rPr>
          <w:rFonts w:ascii="Bookman Old Style" w:hAnsi="Bookman Old Style" w:cs="Arial"/>
          <w:sz w:val="18"/>
          <w:szCs w:val="20"/>
        </w:rPr>
        <w:t xml:space="preserve"> dispose d’un Conseil d’administration, d’une Direction Générale et d’une Agence Comptable.</w:t>
      </w:r>
    </w:p>
    <w:p w:rsidR="00A71605" w:rsidRPr="00005D27" w:rsidRDefault="00A71605" w:rsidP="00A71605">
      <w:pPr>
        <w:spacing w:after="0" w:line="240" w:lineRule="auto"/>
        <w:ind w:right="-567"/>
        <w:jc w:val="both"/>
        <w:rPr>
          <w:rFonts w:ascii="Bookman Old Style" w:hAnsi="Bookman Old Style" w:cs="Arial"/>
          <w:sz w:val="18"/>
          <w:szCs w:val="20"/>
        </w:rPr>
      </w:pPr>
      <w:r>
        <w:rPr>
          <w:rFonts w:ascii="Bookman Old Style" w:hAnsi="Bookman Old Style" w:cs="Arial"/>
          <w:sz w:val="18"/>
          <w:szCs w:val="20"/>
        </w:rPr>
        <w:t>La Direction Générale de l’ADAG comprend : les services d’appui, les services techniques et les services territoriaux</w:t>
      </w:r>
    </w:p>
    <w:p w:rsidR="008D4D11" w:rsidRDefault="008D4D11" w:rsidP="00005D27">
      <w:pPr>
        <w:tabs>
          <w:tab w:val="left" w:pos="1753"/>
        </w:tabs>
        <w:spacing w:after="0" w:line="240" w:lineRule="auto"/>
        <w:ind w:right="-567"/>
        <w:jc w:val="both"/>
        <w:rPr>
          <w:rFonts w:ascii="Bookman Old Style" w:hAnsi="Bookman Old Style" w:cs="Arial"/>
          <w:sz w:val="18"/>
          <w:szCs w:val="20"/>
        </w:rPr>
      </w:pPr>
    </w:p>
    <w:p w:rsidR="00B80F6A" w:rsidRPr="00005D27" w:rsidRDefault="00B80F6A" w:rsidP="00005D27">
      <w:pPr>
        <w:tabs>
          <w:tab w:val="left" w:pos="1753"/>
        </w:tabs>
        <w:spacing w:after="0" w:line="240" w:lineRule="auto"/>
        <w:ind w:right="-567"/>
        <w:jc w:val="both"/>
        <w:rPr>
          <w:rFonts w:ascii="Bookman Old Style" w:hAnsi="Bookman Old Style" w:cs="Arial"/>
          <w:sz w:val="18"/>
          <w:szCs w:val="20"/>
        </w:rPr>
      </w:pPr>
    </w:p>
    <w:p w:rsidR="008D4D11" w:rsidRPr="00005D27" w:rsidRDefault="008D4D11" w:rsidP="00005D27">
      <w:pPr>
        <w:tabs>
          <w:tab w:val="left" w:pos="1753"/>
        </w:tabs>
        <w:spacing w:after="0"/>
        <w:ind w:right="-567"/>
        <w:jc w:val="both"/>
        <w:rPr>
          <w:rFonts w:ascii="Bookman Old Style" w:hAnsi="Bookman Old Style" w:cs="Arial"/>
          <w:sz w:val="18"/>
          <w:szCs w:val="20"/>
        </w:rPr>
      </w:pPr>
      <w:r w:rsidRPr="00005D27">
        <w:rPr>
          <w:rFonts w:ascii="Bookman Old Style" w:hAnsi="Bookman Old Style" w:cs="Arial"/>
          <w:sz w:val="18"/>
          <w:szCs w:val="20"/>
        </w:rPr>
        <w:t>L’ADAG est placé sous la tutelle technique du Ministère de l’Agriculture, de l’Élevage et de l’Alimentation en charge du Programme GRAINE et sous la tutelle financière du Ministère en charge du Budget.</w:t>
      </w:r>
    </w:p>
    <w:p w:rsidR="008D4D11" w:rsidRPr="00005D27" w:rsidRDefault="003528B6" w:rsidP="00005D27">
      <w:pPr>
        <w:spacing w:after="0" w:line="240" w:lineRule="auto"/>
        <w:ind w:right="-567"/>
        <w:jc w:val="both"/>
        <w:rPr>
          <w:rFonts w:ascii="Bookman Old Style" w:hAnsi="Bookman Old Style" w:cs="Arial"/>
          <w:sz w:val="18"/>
          <w:szCs w:val="20"/>
        </w:rPr>
      </w:pPr>
      <w:r>
        <w:rPr>
          <w:rFonts w:ascii="Bookman Old Style" w:hAnsi="Bookman Old Style" w:cs="Arial"/>
          <w:sz w:val="18"/>
          <w:szCs w:val="20"/>
        </w:rPr>
        <w:t xml:space="preserve">, </w:t>
      </w:r>
      <w:r w:rsidR="008D4D11" w:rsidRPr="00005D27">
        <w:rPr>
          <w:rFonts w:ascii="Bookman Old Style" w:hAnsi="Bookman Old Style" w:cs="Arial"/>
          <w:sz w:val="18"/>
          <w:szCs w:val="20"/>
        </w:rPr>
        <w:t>Les missions de l’Agence de Développement Agricole du Gabon (ADAG) se distinguent en deux types : les missions de service public et les missions de développement</w:t>
      </w:r>
    </w:p>
    <w:p w:rsidR="008D4D11" w:rsidRPr="00005D27" w:rsidRDefault="008D4D11" w:rsidP="00005D27">
      <w:pPr>
        <w:spacing w:after="0" w:line="240" w:lineRule="auto"/>
        <w:ind w:right="-567"/>
        <w:jc w:val="both"/>
        <w:rPr>
          <w:rFonts w:ascii="Bookman Old Style" w:hAnsi="Bookman Old Style" w:cs="Arial"/>
          <w:sz w:val="18"/>
          <w:szCs w:val="20"/>
        </w:rPr>
      </w:pPr>
    </w:p>
    <w:p w:rsidR="008D4D11" w:rsidRPr="00005D27" w:rsidRDefault="008D4D11" w:rsidP="00005D27">
      <w:pPr>
        <w:spacing w:after="0" w:line="240" w:lineRule="auto"/>
        <w:ind w:right="-567"/>
        <w:jc w:val="both"/>
        <w:rPr>
          <w:rFonts w:ascii="Bookman Old Style" w:hAnsi="Bookman Old Style" w:cs="Arial"/>
          <w:sz w:val="18"/>
          <w:szCs w:val="20"/>
        </w:rPr>
      </w:pPr>
      <w:r w:rsidRPr="00005D27">
        <w:rPr>
          <w:rFonts w:ascii="Bookman Old Style" w:hAnsi="Bookman Old Style" w:cs="Arial"/>
          <w:sz w:val="18"/>
          <w:szCs w:val="20"/>
        </w:rPr>
        <w:t xml:space="preserve">Au titre de service public, l’ADAG </w:t>
      </w:r>
      <w:r w:rsidR="00005D27" w:rsidRPr="00005D27">
        <w:rPr>
          <w:rFonts w:ascii="Bookman Old Style" w:hAnsi="Bookman Old Style" w:cs="Arial"/>
          <w:sz w:val="18"/>
          <w:szCs w:val="20"/>
        </w:rPr>
        <w:t>a pour mission</w:t>
      </w:r>
      <w:r w:rsidRPr="00005D27">
        <w:rPr>
          <w:rFonts w:ascii="Bookman Old Style" w:hAnsi="Bookman Old Style" w:cs="Arial"/>
          <w:sz w:val="18"/>
          <w:szCs w:val="20"/>
        </w:rPr>
        <w:t xml:space="preserve"> de </w:t>
      </w:r>
      <w:r w:rsidR="00005D27" w:rsidRPr="00005D27">
        <w:rPr>
          <w:rFonts w:ascii="Bookman Old Style" w:hAnsi="Bookman Old Style" w:cs="Arial"/>
          <w:sz w:val="18"/>
          <w:szCs w:val="20"/>
        </w:rPr>
        <w:t>(i) r</w:t>
      </w:r>
      <w:r w:rsidRPr="00005D27">
        <w:rPr>
          <w:rFonts w:ascii="Bookman Old Style" w:hAnsi="Bookman Old Style" w:cs="Arial"/>
          <w:sz w:val="18"/>
          <w:szCs w:val="20"/>
        </w:rPr>
        <w:t xml:space="preserve">éaliser et suivre les programmes de développement agricole et rural sur toute l’étendue du territoire </w:t>
      </w:r>
      <w:r w:rsidR="00005D27" w:rsidRPr="00005D27">
        <w:rPr>
          <w:rFonts w:ascii="Bookman Old Style" w:hAnsi="Bookman Old Style" w:cs="Arial"/>
          <w:sz w:val="18"/>
          <w:szCs w:val="20"/>
        </w:rPr>
        <w:t>national, (ii) d’a</w:t>
      </w:r>
      <w:r w:rsidRPr="00005D27">
        <w:rPr>
          <w:rFonts w:ascii="Bookman Old Style" w:hAnsi="Bookman Old Style" w:cs="Arial"/>
          <w:sz w:val="18"/>
          <w:szCs w:val="20"/>
        </w:rPr>
        <w:t>ssurer l’appui à la conception et à la réalisation de projets agricoles et de modèles d’exploitation innovants rentables et durables</w:t>
      </w:r>
      <w:r w:rsidR="00005D27" w:rsidRPr="00005D27">
        <w:rPr>
          <w:rFonts w:ascii="Bookman Old Style" w:hAnsi="Bookman Old Style" w:cs="Arial"/>
          <w:sz w:val="18"/>
          <w:szCs w:val="20"/>
        </w:rPr>
        <w:t>, et (iii) d’a</w:t>
      </w:r>
      <w:r w:rsidRPr="00005D27">
        <w:rPr>
          <w:rFonts w:ascii="Bookman Old Style" w:hAnsi="Bookman Old Style" w:cs="Arial"/>
          <w:sz w:val="18"/>
          <w:szCs w:val="20"/>
        </w:rPr>
        <w:t>ssurer la gestion administrative et financière des aides publiques orientées vers l’appui à la production.</w:t>
      </w:r>
    </w:p>
    <w:p w:rsidR="008D4D11" w:rsidRPr="00005D27" w:rsidRDefault="008D4D11" w:rsidP="00005D27">
      <w:pPr>
        <w:spacing w:after="0" w:line="240" w:lineRule="auto"/>
        <w:ind w:right="-567"/>
        <w:jc w:val="both"/>
        <w:rPr>
          <w:rFonts w:ascii="Bookman Old Style" w:hAnsi="Bookman Old Style" w:cs="Arial"/>
          <w:sz w:val="18"/>
          <w:szCs w:val="20"/>
        </w:rPr>
      </w:pPr>
    </w:p>
    <w:p w:rsidR="008D4D11" w:rsidRDefault="00005D27" w:rsidP="00005D27">
      <w:pPr>
        <w:spacing w:after="0" w:line="240" w:lineRule="auto"/>
        <w:ind w:right="-567"/>
        <w:jc w:val="both"/>
        <w:rPr>
          <w:rFonts w:ascii="Bookman Old Style" w:hAnsi="Bookman Old Style" w:cs="Arial"/>
          <w:sz w:val="18"/>
          <w:szCs w:val="20"/>
        </w:rPr>
      </w:pPr>
      <w:r w:rsidRPr="00005D27">
        <w:rPr>
          <w:rFonts w:ascii="Bookman Old Style" w:hAnsi="Bookman Old Style" w:cs="Arial"/>
          <w:sz w:val="18"/>
          <w:szCs w:val="20"/>
        </w:rPr>
        <w:t xml:space="preserve">Au titre de service </w:t>
      </w:r>
      <w:r w:rsidR="008D4D11" w:rsidRPr="00005D27">
        <w:rPr>
          <w:rFonts w:ascii="Bookman Old Style" w:hAnsi="Bookman Old Style" w:cs="Arial"/>
          <w:sz w:val="18"/>
          <w:szCs w:val="20"/>
        </w:rPr>
        <w:t xml:space="preserve">de </w:t>
      </w:r>
      <w:r w:rsidRPr="00005D27">
        <w:rPr>
          <w:rFonts w:ascii="Bookman Old Style" w:hAnsi="Bookman Old Style" w:cs="Arial"/>
          <w:sz w:val="18"/>
          <w:szCs w:val="20"/>
        </w:rPr>
        <w:t>développement, l’ADAG est chargée de : (i) assurer</w:t>
      </w:r>
      <w:r w:rsidR="008D4D11" w:rsidRPr="00005D27">
        <w:rPr>
          <w:rFonts w:ascii="Bookman Old Style" w:hAnsi="Bookman Old Style" w:cs="Arial"/>
          <w:sz w:val="18"/>
          <w:szCs w:val="20"/>
        </w:rPr>
        <w:t xml:space="preserve"> la mobilisation, l’aménagement et la mise en valeur des terres agricoles et la conduite d’actions d’information et promotion de l’offre nationale en matière </w:t>
      </w:r>
      <w:r w:rsidRPr="00005D27">
        <w:rPr>
          <w:rFonts w:ascii="Bookman Old Style" w:hAnsi="Bookman Old Style" w:cs="Arial"/>
          <w:sz w:val="18"/>
          <w:szCs w:val="20"/>
        </w:rPr>
        <w:t xml:space="preserve">d’investissement agricole, (ii) </w:t>
      </w:r>
      <w:r w:rsidR="008D4D11" w:rsidRPr="00005D27">
        <w:rPr>
          <w:rFonts w:ascii="Bookman Old Style" w:hAnsi="Bookman Old Style" w:cs="Arial"/>
          <w:sz w:val="18"/>
          <w:szCs w:val="20"/>
        </w:rPr>
        <w:t>promouvoir une agriculture entrepreneuriale et durable</w:t>
      </w:r>
      <w:r w:rsidRPr="00005D27">
        <w:rPr>
          <w:rFonts w:ascii="Bookman Old Style" w:hAnsi="Bookman Old Style" w:cs="Arial"/>
          <w:sz w:val="18"/>
          <w:szCs w:val="20"/>
        </w:rPr>
        <w:t xml:space="preserve">, (iii) </w:t>
      </w:r>
      <w:r w:rsidR="008D4D11" w:rsidRPr="00005D27">
        <w:rPr>
          <w:rFonts w:ascii="Bookman Old Style" w:hAnsi="Bookman Old Style" w:cs="Arial"/>
          <w:sz w:val="18"/>
          <w:szCs w:val="20"/>
        </w:rPr>
        <w:t>procéder à la levée des fonds pour le développement des projets agricoles</w:t>
      </w:r>
      <w:r w:rsidRPr="00005D27">
        <w:rPr>
          <w:rFonts w:ascii="Bookman Old Style" w:hAnsi="Bookman Old Style" w:cs="Arial"/>
          <w:sz w:val="18"/>
          <w:szCs w:val="20"/>
        </w:rPr>
        <w:t xml:space="preserve"> et de (iv) </w:t>
      </w:r>
      <w:r w:rsidR="008D4D11" w:rsidRPr="00005D27">
        <w:rPr>
          <w:rFonts w:ascii="Bookman Old Style" w:hAnsi="Bookman Old Style" w:cs="Arial"/>
          <w:sz w:val="18"/>
          <w:szCs w:val="20"/>
        </w:rPr>
        <w:t>répondre à la demande locale et augmenter la disponibilité des semences.</w:t>
      </w:r>
    </w:p>
    <w:p w:rsidR="00005D27" w:rsidRDefault="00005D27" w:rsidP="00005D27">
      <w:pPr>
        <w:spacing w:after="0" w:line="240" w:lineRule="auto"/>
        <w:ind w:right="-567"/>
        <w:jc w:val="both"/>
        <w:rPr>
          <w:rFonts w:ascii="Bookman Old Style" w:hAnsi="Bookman Old Style" w:cs="Arial"/>
          <w:sz w:val="18"/>
          <w:szCs w:val="20"/>
        </w:rPr>
      </w:pPr>
    </w:p>
    <w:p w:rsidR="001016A7" w:rsidRPr="00892EC2" w:rsidRDefault="001016A7" w:rsidP="001016A7">
      <w:pPr>
        <w:pStyle w:val="Paragraphedeliste"/>
        <w:numPr>
          <w:ilvl w:val="0"/>
          <w:numId w:val="1"/>
        </w:numPr>
        <w:spacing w:after="0"/>
        <w:ind w:left="284" w:right="-567" w:hanging="284"/>
        <w:jc w:val="both"/>
        <w:rPr>
          <w:rFonts w:ascii="Bookman Old Style" w:hAnsi="Bookman Old Style"/>
          <w:b/>
          <w:sz w:val="18"/>
          <w:szCs w:val="20"/>
        </w:rPr>
      </w:pPr>
      <w:r w:rsidRPr="00892EC2">
        <w:rPr>
          <w:rFonts w:ascii="Bookman Old Style" w:hAnsi="Bookman Old Style"/>
          <w:b/>
          <w:sz w:val="18"/>
          <w:szCs w:val="20"/>
        </w:rPr>
        <w:t xml:space="preserve">Description de l’ouvrage projeté </w:t>
      </w:r>
    </w:p>
    <w:p w:rsidR="008058D5" w:rsidRDefault="001016A7" w:rsidP="001016A7">
      <w:pPr>
        <w:spacing w:after="0"/>
        <w:ind w:right="-567"/>
        <w:jc w:val="both"/>
        <w:rPr>
          <w:rFonts w:ascii="Bookman Old Style" w:hAnsi="Bookman Old Style"/>
          <w:sz w:val="18"/>
          <w:szCs w:val="20"/>
        </w:rPr>
      </w:pPr>
      <w:r w:rsidRPr="00CD13AA">
        <w:rPr>
          <w:rFonts w:ascii="Bookman Old Style" w:hAnsi="Bookman Old Style"/>
          <w:sz w:val="18"/>
          <w:szCs w:val="20"/>
        </w:rPr>
        <w:t>L’ADAG envisage de construire un</w:t>
      </w:r>
      <w:r w:rsidR="00892EC2">
        <w:rPr>
          <w:rFonts w:ascii="Bookman Old Style" w:hAnsi="Bookman Old Style"/>
          <w:sz w:val="18"/>
          <w:szCs w:val="20"/>
        </w:rPr>
        <w:t xml:space="preserve"> bâtiment abritant les services </w:t>
      </w:r>
      <w:r w:rsidR="004431D7">
        <w:rPr>
          <w:rFonts w:ascii="Bookman Old Style" w:hAnsi="Bookman Old Style"/>
          <w:sz w:val="18"/>
          <w:szCs w:val="20"/>
        </w:rPr>
        <w:t xml:space="preserve">de deux laboratoires : </w:t>
      </w:r>
      <w:r w:rsidR="00892EC2">
        <w:rPr>
          <w:rFonts w:ascii="Bookman Old Style" w:hAnsi="Bookman Old Style"/>
          <w:sz w:val="18"/>
          <w:szCs w:val="20"/>
        </w:rPr>
        <w:t>un</w:t>
      </w:r>
      <w:r w:rsidRPr="00CD13AA">
        <w:rPr>
          <w:rFonts w:ascii="Bookman Old Style" w:hAnsi="Bookman Old Style"/>
          <w:sz w:val="18"/>
          <w:szCs w:val="20"/>
        </w:rPr>
        <w:t xml:space="preserve"> laboratoire d’analyse des sols </w:t>
      </w:r>
      <w:r w:rsidR="00892EC2">
        <w:rPr>
          <w:rFonts w:ascii="Bookman Old Style" w:hAnsi="Bookman Old Style"/>
          <w:sz w:val="18"/>
          <w:szCs w:val="20"/>
        </w:rPr>
        <w:t xml:space="preserve">et un laboratoire </w:t>
      </w:r>
      <w:r w:rsidR="008058D5">
        <w:rPr>
          <w:rFonts w:ascii="Bookman Old Style" w:hAnsi="Bookman Old Style"/>
          <w:sz w:val="18"/>
          <w:szCs w:val="20"/>
        </w:rPr>
        <w:t>Système d’Informations Géographiques (</w:t>
      </w:r>
      <w:r w:rsidR="00892EC2">
        <w:rPr>
          <w:rFonts w:ascii="Bookman Old Style" w:hAnsi="Bookman Old Style"/>
          <w:sz w:val="18"/>
          <w:szCs w:val="20"/>
        </w:rPr>
        <w:t>SIG</w:t>
      </w:r>
      <w:r w:rsidR="008058D5">
        <w:rPr>
          <w:rFonts w:ascii="Bookman Old Style" w:hAnsi="Bookman Old Style"/>
          <w:sz w:val="18"/>
          <w:szCs w:val="20"/>
        </w:rPr>
        <w:t>)</w:t>
      </w:r>
      <w:r w:rsidRPr="00CD13AA">
        <w:rPr>
          <w:rFonts w:ascii="Bookman Old Style" w:hAnsi="Bookman Old Style"/>
          <w:sz w:val="18"/>
          <w:szCs w:val="20"/>
        </w:rPr>
        <w:t>. La construction de ce</w:t>
      </w:r>
      <w:r w:rsidR="004431D7">
        <w:rPr>
          <w:rFonts w:ascii="Bookman Old Style" w:hAnsi="Bookman Old Style"/>
          <w:sz w:val="18"/>
          <w:szCs w:val="20"/>
        </w:rPr>
        <w:t xml:space="preserve">s outils, </w:t>
      </w:r>
      <w:r w:rsidRPr="00CD13AA">
        <w:rPr>
          <w:rFonts w:ascii="Bookman Old Style" w:hAnsi="Bookman Old Style"/>
          <w:sz w:val="18"/>
          <w:szCs w:val="20"/>
        </w:rPr>
        <w:t xml:space="preserve">répond </w:t>
      </w:r>
      <w:r w:rsidRPr="00CD13AA">
        <w:rPr>
          <w:rFonts w:ascii="Bookman Old Style" w:hAnsi="Bookman Old Style"/>
          <w:sz w:val="18"/>
          <w:szCs w:val="20"/>
        </w:rPr>
        <w:lastRenderedPageBreak/>
        <w:t>à la volonté</w:t>
      </w:r>
      <w:r w:rsidR="004431D7">
        <w:rPr>
          <w:rFonts w:ascii="Bookman Old Style" w:hAnsi="Bookman Old Style"/>
          <w:sz w:val="18"/>
          <w:szCs w:val="20"/>
        </w:rPr>
        <w:t xml:space="preserve"> du Gouvernement </w:t>
      </w:r>
      <w:r w:rsidR="004431D7" w:rsidRPr="00CD13AA">
        <w:rPr>
          <w:rFonts w:ascii="Bookman Old Style" w:hAnsi="Bookman Old Style"/>
          <w:sz w:val="18"/>
          <w:szCs w:val="20"/>
        </w:rPr>
        <w:t>de</w:t>
      </w:r>
      <w:r w:rsidRPr="00CD13AA">
        <w:rPr>
          <w:rFonts w:ascii="Bookman Old Style" w:hAnsi="Bookman Old Style"/>
          <w:sz w:val="18"/>
          <w:szCs w:val="20"/>
        </w:rPr>
        <w:t xml:space="preserve"> renforcer les capacités techniques des services du Ministère de l’Agriculture et de faire de ce département minist</w:t>
      </w:r>
      <w:r w:rsidR="004431D7">
        <w:rPr>
          <w:rFonts w:ascii="Bookman Old Style" w:hAnsi="Bookman Old Style"/>
          <w:sz w:val="18"/>
          <w:szCs w:val="20"/>
        </w:rPr>
        <w:t>ériel</w:t>
      </w:r>
      <w:r w:rsidRPr="00CD13AA">
        <w:rPr>
          <w:rFonts w:ascii="Bookman Old Style" w:hAnsi="Bookman Old Style"/>
          <w:sz w:val="18"/>
          <w:szCs w:val="20"/>
        </w:rPr>
        <w:t xml:space="preserve">, non seulement un véritable moteur de « l’économie propre », mais aussi un pilier de lutte pour la limitation des émissions des GES.  </w:t>
      </w:r>
    </w:p>
    <w:p w:rsidR="001016A7" w:rsidRPr="00CD13AA" w:rsidRDefault="008058D5" w:rsidP="001016A7">
      <w:pPr>
        <w:spacing w:after="0"/>
        <w:ind w:right="-567"/>
        <w:jc w:val="both"/>
        <w:rPr>
          <w:rFonts w:ascii="Bookman Old Style" w:hAnsi="Bookman Old Style"/>
          <w:sz w:val="18"/>
          <w:szCs w:val="20"/>
        </w:rPr>
      </w:pPr>
      <w:r>
        <w:rPr>
          <w:rFonts w:ascii="Bookman Old Style" w:hAnsi="Bookman Old Style"/>
          <w:sz w:val="18"/>
          <w:szCs w:val="20"/>
        </w:rPr>
        <w:t>L</w:t>
      </w:r>
      <w:r w:rsidR="001016A7" w:rsidRPr="00CD13AA">
        <w:rPr>
          <w:rFonts w:ascii="Bookman Old Style" w:hAnsi="Bookman Old Style"/>
          <w:sz w:val="18"/>
          <w:szCs w:val="20"/>
        </w:rPr>
        <w:t xml:space="preserve">e bâtiment </w:t>
      </w:r>
      <w:r>
        <w:rPr>
          <w:rFonts w:ascii="Bookman Old Style" w:hAnsi="Bookman Old Style"/>
          <w:sz w:val="18"/>
          <w:szCs w:val="20"/>
        </w:rPr>
        <w:t xml:space="preserve">projeté, </w:t>
      </w:r>
      <w:r w:rsidR="001016A7" w:rsidRPr="00CD13AA">
        <w:rPr>
          <w:rFonts w:ascii="Bookman Old Style" w:hAnsi="Bookman Old Style"/>
          <w:sz w:val="18"/>
          <w:szCs w:val="20"/>
        </w:rPr>
        <w:t>reflétera l’image de l’ADAG et de son label qualité qu’elle se veut construire auprès de partenaires au développement.</w:t>
      </w:r>
    </w:p>
    <w:p w:rsidR="001016A7" w:rsidRPr="00CD13AA" w:rsidRDefault="008058D5" w:rsidP="001016A7">
      <w:pPr>
        <w:spacing w:after="0"/>
        <w:ind w:right="-567"/>
        <w:jc w:val="both"/>
        <w:rPr>
          <w:rFonts w:ascii="Bookman Old Style" w:hAnsi="Bookman Old Style"/>
          <w:sz w:val="18"/>
          <w:szCs w:val="20"/>
        </w:rPr>
      </w:pPr>
      <w:r>
        <w:rPr>
          <w:rFonts w:ascii="Bookman Old Style" w:hAnsi="Bookman Old Style"/>
          <w:sz w:val="18"/>
          <w:szCs w:val="20"/>
        </w:rPr>
        <w:t>Le</w:t>
      </w:r>
      <w:r w:rsidR="001016A7" w:rsidRPr="00CD13AA">
        <w:rPr>
          <w:rFonts w:ascii="Bookman Old Style" w:hAnsi="Bookman Old Style"/>
          <w:sz w:val="18"/>
          <w:szCs w:val="20"/>
        </w:rPr>
        <w:t xml:space="preserve"> site</w:t>
      </w:r>
      <w:r w:rsidR="00892EC2">
        <w:rPr>
          <w:rFonts w:ascii="Bookman Old Style" w:hAnsi="Bookman Old Style"/>
          <w:sz w:val="18"/>
          <w:szCs w:val="20"/>
        </w:rPr>
        <w:t xml:space="preserve"> retenu se situe </w:t>
      </w:r>
      <w:r w:rsidR="00892EC2" w:rsidRPr="00CD13AA">
        <w:rPr>
          <w:rFonts w:ascii="Bookman Old Style" w:hAnsi="Bookman Old Style"/>
          <w:sz w:val="18"/>
          <w:szCs w:val="20"/>
        </w:rPr>
        <w:t xml:space="preserve">à </w:t>
      </w:r>
      <w:proofErr w:type="spellStart"/>
      <w:r w:rsidR="00892EC2" w:rsidRPr="00CD13AA">
        <w:rPr>
          <w:rFonts w:ascii="Bookman Old Style" w:hAnsi="Bookman Old Style"/>
          <w:sz w:val="18"/>
          <w:szCs w:val="20"/>
        </w:rPr>
        <w:t>Avorbam</w:t>
      </w:r>
      <w:proofErr w:type="spellEnd"/>
      <w:r w:rsidR="00892EC2" w:rsidRPr="00CD13AA">
        <w:rPr>
          <w:rFonts w:ascii="Bookman Old Style" w:hAnsi="Bookman Old Style"/>
          <w:sz w:val="18"/>
          <w:szCs w:val="20"/>
        </w:rPr>
        <w:t xml:space="preserve"> dans le commune d’</w:t>
      </w:r>
      <w:proofErr w:type="spellStart"/>
      <w:r w:rsidR="00892EC2" w:rsidRPr="00CD13AA">
        <w:rPr>
          <w:rFonts w:ascii="Bookman Old Style" w:hAnsi="Bookman Old Style"/>
          <w:sz w:val="18"/>
          <w:szCs w:val="20"/>
        </w:rPr>
        <w:t>Akanda</w:t>
      </w:r>
      <w:proofErr w:type="spellEnd"/>
      <w:r w:rsidR="00892EC2">
        <w:rPr>
          <w:rFonts w:ascii="Bookman Old Style" w:hAnsi="Bookman Old Style"/>
          <w:sz w:val="18"/>
          <w:szCs w:val="20"/>
        </w:rPr>
        <w:t xml:space="preserve">. Il </w:t>
      </w:r>
      <w:r w:rsidR="001016A7" w:rsidRPr="00CD13AA">
        <w:rPr>
          <w:rFonts w:ascii="Bookman Old Style" w:hAnsi="Bookman Old Style"/>
          <w:sz w:val="18"/>
          <w:szCs w:val="20"/>
        </w:rPr>
        <w:t xml:space="preserve">bénéficie de la proximité de toutes les utilités nécessaires (énergie, réseau d’eau potable, télécommunications etc.). Le bâtiment comprendra au minimum </w:t>
      </w:r>
      <w:r>
        <w:rPr>
          <w:rFonts w:ascii="Bookman Old Style" w:hAnsi="Bookman Old Style"/>
          <w:sz w:val="18"/>
          <w:szCs w:val="20"/>
        </w:rPr>
        <w:t>quinze compartiments dont</w:t>
      </w:r>
      <w:r w:rsidR="001016A7" w:rsidRPr="00CD13AA">
        <w:rPr>
          <w:rFonts w:ascii="Bookman Old Style" w:hAnsi="Bookman Old Style"/>
          <w:sz w:val="18"/>
          <w:szCs w:val="20"/>
        </w:rPr>
        <w:t> :  une salle d’attente, une salle de réception des échantillons, une salle de séchage, une salle de broyage, une salle d’analyse, une salle de bain, une salle de toilette et un débarras. Il sera équipé de tous les moyens modernes d’alimentation électriques, de climatisation, de communication, de tout autre équipement technique moderne etc.</w:t>
      </w:r>
    </w:p>
    <w:p w:rsidR="00892EC2" w:rsidRPr="00892EC2" w:rsidRDefault="00892EC2" w:rsidP="00892EC2">
      <w:pPr>
        <w:pStyle w:val="Default"/>
        <w:ind w:right="-569"/>
        <w:jc w:val="both"/>
        <w:rPr>
          <w:rFonts w:ascii="Bookman Old Style" w:hAnsi="Bookman Old Style"/>
          <w:color w:val="auto"/>
          <w:sz w:val="18"/>
          <w:szCs w:val="20"/>
        </w:rPr>
      </w:pPr>
    </w:p>
    <w:p w:rsidR="001016A7" w:rsidRPr="00CD13AA" w:rsidRDefault="00892EC2" w:rsidP="001016A7">
      <w:pPr>
        <w:pStyle w:val="Default"/>
        <w:numPr>
          <w:ilvl w:val="0"/>
          <w:numId w:val="1"/>
        </w:numPr>
        <w:ind w:left="426" w:right="-569" w:hanging="426"/>
        <w:jc w:val="both"/>
        <w:rPr>
          <w:rFonts w:ascii="Bookman Old Style" w:hAnsi="Bookman Old Style"/>
          <w:color w:val="auto"/>
          <w:sz w:val="18"/>
          <w:szCs w:val="20"/>
        </w:rPr>
      </w:pPr>
      <w:r>
        <w:rPr>
          <w:rFonts w:ascii="Bookman Old Style" w:hAnsi="Bookman Old Style"/>
          <w:b/>
          <w:bCs/>
          <w:color w:val="auto"/>
          <w:sz w:val="18"/>
          <w:szCs w:val="20"/>
        </w:rPr>
        <w:t>Objectif</w:t>
      </w:r>
      <w:r w:rsidR="001016A7" w:rsidRPr="00CD13AA">
        <w:rPr>
          <w:rFonts w:ascii="Bookman Old Style" w:hAnsi="Bookman Old Style"/>
          <w:b/>
          <w:bCs/>
          <w:color w:val="auto"/>
          <w:sz w:val="18"/>
          <w:szCs w:val="20"/>
        </w:rPr>
        <w:t xml:space="preserve"> de la prestation </w:t>
      </w:r>
    </w:p>
    <w:p w:rsidR="001016A7" w:rsidRPr="00CD13AA" w:rsidRDefault="001016A7" w:rsidP="001016A7">
      <w:pPr>
        <w:pStyle w:val="Default"/>
        <w:ind w:right="-569"/>
        <w:jc w:val="both"/>
        <w:rPr>
          <w:rFonts w:ascii="Bookman Old Style" w:hAnsi="Bookman Old Style"/>
          <w:color w:val="auto"/>
          <w:sz w:val="10"/>
          <w:szCs w:val="20"/>
        </w:rPr>
      </w:pPr>
    </w:p>
    <w:p w:rsidR="004431D7" w:rsidRPr="00623C1E" w:rsidRDefault="00623C1E" w:rsidP="008058D5">
      <w:pPr>
        <w:pStyle w:val="Paragraphedeliste"/>
        <w:numPr>
          <w:ilvl w:val="1"/>
          <w:numId w:val="1"/>
        </w:numPr>
        <w:spacing w:after="0"/>
        <w:ind w:left="567" w:right="-567" w:hanging="425"/>
        <w:jc w:val="both"/>
        <w:rPr>
          <w:rFonts w:ascii="Bookman Old Style" w:hAnsi="Bookman Old Style"/>
          <w:sz w:val="18"/>
          <w:szCs w:val="20"/>
        </w:rPr>
      </w:pPr>
      <w:r w:rsidRPr="00623C1E">
        <w:rPr>
          <w:rFonts w:ascii="Bookman Old Style" w:hAnsi="Bookman Old Style"/>
          <w:b/>
          <w:sz w:val="18"/>
          <w:szCs w:val="20"/>
        </w:rPr>
        <w:t xml:space="preserve"> </w:t>
      </w:r>
      <w:r w:rsidR="004431D7" w:rsidRPr="00623C1E">
        <w:rPr>
          <w:rFonts w:ascii="Bookman Old Style" w:hAnsi="Bookman Old Style"/>
          <w:b/>
          <w:sz w:val="18"/>
          <w:szCs w:val="20"/>
        </w:rPr>
        <w:t>Objectif général</w:t>
      </w:r>
      <w:r w:rsidR="004431D7" w:rsidRPr="00623C1E">
        <w:rPr>
          <w:rFonts w:ascii="Bookman Old Style" w:hAnsi="Bookman Old Style"/>
          <w:sz w:val="18"/>
          <w:szCs w:val="20"/>
        </w:rPr>
        <w:t xml:space="preserve"> : L’objectif général visé est l’amélioration de la carte des sols élaborée en 1981. </w:t>
      </w:r>
    </w:p>
    <w:p w:rsidR="002C1FDD" w:rsidRPr="002C1FDD" w:rsidRDefault="004431D7" w:rsidP="00623C1E">
      <w:pPr>
        <w:pStyle w:val="Paragraphedeliste"/>
        <w:numPr>
          <w:ilvl w:val="1"/>
          <w:numId w:val="1"/>
        </w:numPr>
        <w:spacing w:after="0"/>
        <w:ind w:left="567" w:right="-569" w:hanging="425"/>
        <w:jc w:val="both"/>
        <w:rPr>
          <w:rFonts w:ascii="Bookman Old Style" w:hAnsi="Bookman Old Style"/>
          <w:sz w:val="10"/>
          <w:szCs w:val="20"/>
        </w:rPr>
      </w:pPr>
      <w:r w:rsidRPr="002C1FDD">
        <w:rPr>
          <w:rFonts w:ascii="Bookman Old Style" w:hAnsi="Bookman Old Style"/>
          <w:sz w:val="18"/>
          <w:szCs w:val="20"/>
        </w:rPr>
        <w:t xml:space="preserve"> </w:t>
      </w:r>
      <w:r w:rsidRPr="00623C1E">
        <w:rPr>
          <w:rFonts w:ascii="Bookman Old Style" w:hAnsi="Bookman Old Style"/>
          <w:b/>
          <w:sz w:val="18"/>
          <w:szCs w:val="20"/>
        </w:rPr>
        <w:t>Objectif spécifique</w:t>
      </w:r>
      <w:r w:rsidRPr="002C1FDD">
        <w:rPr>
          <w:rFonts w:ascii="Bookman Old Style" w:hAnsi="Bookman Old Style"/>
          <w:sz w:val="18"/>
          <w:szCs w:val="20"/>
        </w:rPr>
        <w:t xml:space="preserve"> : </w:t>
      </w:r>
      <w:r w:rsidR="001016A7" w:rsidRPr="002C1FDD">
        <w:rPr>
          <w:rFonts w:ascii="Bookman Old Style" w:hAnsi="Bookman Old Style"/>
          <w:sz w:val="18"/>
          <w:szCs w:val="20"/>
        </w:rPr>
        <w:t>L</w:t>
      </w:r>
      <w:r w:rsidR="00892EC2" w:rsidRPr="002C1FDD">
        <w:rPr>
          <w:rFonts w:ascii="Bookman Old Style" w:hAnsi="Bookman Old Style"/>
          <w:sz w:val="18"/>
          <w:szCs w:val="20"/>
        </w:rPr>
        <w:t>’</w:t>
      </w:r>
      <w:r w:rsidRPr="002C1FDD">
        <w:rPr>
          <w:rFonts w:ascii="Bookman Old Style" w:hAnsi="Bookman Old Style"/>
          <w:sz w:val="18"/>
          <w:szCs w:val="20"/>
        </w:rPr>
        <w:t xml:space="preserve">objectif spécifique visé est </w:t>
      </w:r>
      <w:r w:rsidR="00892EC2" w:rsidRPr="002C1FDD">
        <w:rPr>
          <w:rFonts w:ascii="Bookman Old Style" w:hAnsi="Bookman Old Style"/>
          <w:sz w:val="18"/>
          <w:szCs w:val="20"/>
        </w:rPr>
        <w:t xml:space="preserve">la </w:t>
      </w:r>
      <w:r w:rsidR="001016A7" w:rsidRPr="002C1FDD">
        <w:rPr>
          <w:rFonts w:ascii="Bookman Old Style" w:hAnsi="Bookman Old Style"/>
          <w:sz w:val="18"/>
          <w:szCs w:val="20"/>
        </w:rPr>
        <w:t>constru</w:t>
      </w:r>
      <w:r w:rsidR="00892EC2" w:rsidRPr="002C1FDD">
        <w:rPr>
          <w:rFonts w:ascii="Bookman Old Style" w:hAnsi="Bookman Old Style"/>
          <w:sz w:val="18"/>
          <w:szCs w:val="20"/>
        </w:rPr>
        <w:t>ction</w:t>
      </w:r>
      <w:r w:rsidRPr="002C1FDD">
        <w:rPr>
          <w:rFonts w:ascii="Bookman Old Style" w:hAnsi="Bookman Old Style"/>
          <w:sz w:val="18"/>
          <w:szCs w:val="20"/>
        </w:rPr>
        <w:t>,</w:t>
      </w:r>
      <w:r w:rsidR="00892EC2" w:rsidRPr="002C1FDD">
        <w:rPr>
          <w:rFonts w:ascii="Bookman Old Style" w:hAnsi="Bookman Old Style"/>
          <w:sz w:val="18"/>
          <w:szCs w:val="20"/>
        </w:rPr>
        <w:t xml:space="preserve"> </w:t>
      </w:r>
      <w:r w:rsidRPr="002C1FDD">
        <w:rPr>
          <w:rFonts w:ascii="Bookman Old Style" w:hAnsi="Bookman Old Style"/>
          <w:sz w:val="18"/>
          <w:szCs w:val="20"/>
        </w:rPr>
        <w:t xml:space="preserve">conformément aux normes scientifiques, </w:t>
      </w:r>
      <w:r w:rsidR="00892EC2" w:rsidRPr="002C1FDD">
        <w:rPr>
          <w:rFonts w:ascii="Bookman Old Style" w:hAnsi="Bookman Old Style"/>
          <w:sz w:val="18"/>
          <w:szCs w:val="20"/>
        </w:rPr>
        <w:t>d’</w:t>
      </w:r>
      <w:r w:rsidR="002C1FDD" w:rsidRPr="002C1FDD">
        <w:rPr>
          <w:rFonts w:ascii="Bookman Old Style" w:hAnsi="Bookman Old Style"/>
          <w:sz w:val="18"/>
          <w:szCs w:val="20"/>
        </w:rPr>
        <w:t>un bâtiment</w:t>
      </w:r>
      <w:r w:rsidR="001016A7" w:rsidRPr="002C1FDD">
        <w:rPr>
          <w:rFonts w:ascii="Bookman Old Style" w:hAnsi="Bookman Old Style"/>
          <w:sz w:val="18"/>
          <w:szCs w:val="20"/>
        </w:rPr>
        <w:t xml:space="preserve"> qui abritera</w:t>
      </w:r>
      <w:r w:rsidR="00892EC2" w:rsidRPr="002C1FDD">
        <w:rPr>
          <w:rFonts w:ascii="Bookman Old Style" w:hAnsi="Bookman Old Style"/>
          <w:sz w:val="18"/>
          <w:szCs w:val="20"/>
        </w:rPr>
        <w:t xml:space="preserve"> </w:t>
      </w:r>
      <w:r w:rsidR="002C1FDD" w:rsidRPr="002C1FDD">
        <w:rPr>
          <w:rFonts w:ascii="Bookman Old Style" w:hAnsi="Bookman Old Style"/>
          <w:sz w:val="18"/>
          <w:szCs w:val="20"/>
        </w:rPr>
        <w:t xml:space="preserve">le laboratoire d’analyse des sols et le laboratoire SIG, </w:t>
      </w:r>
      <w:r w:rsidR="00892EC2" w:rsidRPr="002C1FDD">
        <w:rPr>
          <w:rFonts w:ascii="Bookman Old Style" w:hAnsi="Bookman Old Style"/>
          <w:sz w:val="18"/>
          <w:szCs w:val="20"/>
        </w:rPr>
        <w:t>deux outils de travail nécessaires pour le développement du secteur agricole</w:t>
      </w:r>
      <w:r w:rsidR="002C1FDD">
        <w:rPr>
          <w:rFonts w:ascii="Bookman Old Style" w:hAnsi="Bookman Old Style"/>
          <w:sz w:val="18"/>
          <w:szCs w:val="20"/>
        </w:rPr>
        <w:t>.</w:t>
      </w:r>
    </w:p>
    <w:p w:rsidR="001016A7" w:rsidRPr="002C1FDD" w:rsidRDefault="001016A7" w:rsidP="002C1FDD">
      <w:pPr>
        <w:spacing w:after="0"/>
        <w:ind w:right="-569"/>
        <w:jc w:val="both"/>
        <w:rPr>
          <w:rFonts w:ascii="Bookman Old Style" w:hAnsi="Bookman Old Style"/>
          <w:sz w:val="10"/>
          <w:szCs w:val="20"/>
        </w:rPr>
      </w:pPr>
    </w:p>
    <w:p w:rsidR="001016A7" w:rsidRPr="00CD13AA" w:rsidRDefault="001016A7" w:rsidP="001016A7">
      <w:pPr>
        <w:pStyle w:val="Paragraphedeliste"/>
        <w:numPr>
          <w:ilvl w:val="0"/>
          <w:numId w:val="1"/>
        </w:numPr>
        <w:spacing w:after="0"/>
        <w:ind w:left="426" w:right="-567" w:hanging="426"/>
        <w:jc w:val="both"/>
        <w:rPr>
          <w:rFonts w:ascii="Bookman Old Style" w:hAnsi="Bookman Old Style"/>
          <w:b/>
          <w:sz w:val="18"/>
          <w:szCs w:val="20"/>
        </w:rPr>
      </w:pPr>
      <w:r w:rsidRPr="00CD13AA">
        <w:rPr>
          <w:rFonts w:ascii="Bookman Old Style" w:hAnsi="Bookman Old Style"/>
          <w:b/>
          <w:sz w:val="18"/>
          <w:szCs w:val="20"/>
        </w:rPr>
        <w:t xml:space="preserve">Entreprises admises à concourir </w:t>
      </w:r>
    </w:p>
    <w:p w:rsidR="001016A7" w:rsidRPr="00CD13AA" w:rsidRDefault="001016A7" w:rsidP="001016A7">
      <w:pPr>
        <w:spacing w:after="0"/>
        <w:ind w:right="-567"/>
        <w:jc w:val="both"/>
        <w:rPr>
          <w:rFonts w:ascii="Bookman Old Style" w:hAnsi="Bookman Old Style"/>
          <w:sz w:val="18"/>
          <w:szCs w:val="20"/>
        </w:rPr>
      </w:pPr>
      <w:r w:rsidRPr="00CD13AA">
        <w:rPr>
          <w:rFonts w:ascii="Bookman Old Style" w:hAnsi="Bookman Old Style"/>
          <w:sz w:val="18"/>
          <w:szCs w:val="20"/>
        </w:rPr>
        <w:t>Sont admises à concourir toutes les entreprises spécialisées dans le domaine de la construction bâtiment, pouvant justifier de leurs capacités juridiques, techniques et financières et étant à jour vis-à-vis de toutes leurs obligations légales</w:t>
      </w:r>
      <w:r w:rsidR="002C1FDD">
        <w:rPr>
          <w:rFonts w:ascii="Bookman Old Style" w:hAnsi="Bookman Old Style"/>
          <w:sz w:val="18"/>
          <w:szCs w:val="20"/>
        </w:rPr>
        <w:t xml:space="preserve"> en République Gabonaise</w:t>
      </w:r>
      <w:r w:rsidRPr="00CD13AA">
        <w:rPr>
          <w:rFonts w:ascii="Bookman Old Style" w:hAnsi="Bookman Old Style"/>
          <w:sz w:val="18"/>
          <w:szCs w:val="20"/>
        </w:rPr>
        <w:t xml:space="preserve">, qu’elles participent à titre individuel ou dans le cadre d’un groupement. </w:t>
      </w:r>
    </w:p>
    <w:p w:rsidR="001016A7" w:rsidRPr="00CD13AA" w:rsidRDefault="001016A7" w:rsidP="001016A7">
      <w:pPr>
        <w:spacing w:after="0"/>
        <w:ind w:right="-567"/>
        <w:jc w:val="both"/>
        <w:rPr>
          <w:rFonts w:ascii="Bookman Old Style" w:hAnsi="Bookman Old Style"/>
          <w:sz w:val="18"/>
          <w:szCs w:val="20"/>
        </w:rPr>
      </w:pPr>
    </w:p>
    <w:p w:rsidR="001016A7" w:rsidRPr="00CD13AA" w:rsidRDefault="001016A7" w:rsidP="001016A7">
      <w:pPr>
        <w:pStyle w:val="Default"/>
        <w:numPr>
          <w:ilvl w:val="0"/>
          <w:numId w:val="1"/>
        </w:numPr>
        <w:ind w:left="426" w:right="-569" w:hanging="426"/>
        <w:jc w:val="both"/>
        <w:rPr>
          <w:rFonts w:ascii="Bookman Old Style" w:hAnsi="Bookman Old Style"/>
          <w:b/>
          <w:bCs/>
          <w:color w:val="auto"/>
          <w:sz w:val="18"/>
          <w:szCs w:val="20"/>
        </w:rPr>
      </w:pPr>
      <w:r w:rsidRPr="00CD13AA">
        <w:rPr>
          <w:rFonts w:ascii="Bookman Old Style" w:hAnsi="Bookman Old Style"/>
          <w:b/>
          <w:bCs/>
          <w:color w:val="auto"/>
          <w:sz w:val="18"/>
          <w:szCs w:val="20"/>
        </w:rPr>
        <w:t xml:space="preserve">Résultats attendus </w:t>
      </w:r>
    </w:p>
    <w:p w:rsidR="001016A7" w:rsidRPr="00CD13AA" w:rsidRDefault="001016A7" w:rsidP="001016A7">
      <w:pPr>
        <w:pStyle w:val="Default"/>
        <w:ind w:right="-569"/>
        <w:jc w:val="both"/>
        <w:rPr>
          <w:rFonts w:ascii="Bookman Old Style" w:hAnsi="Bookman Old Style"/>
          <w:color w:val="auto"/>
          <w:sz w:val="10"/>
          <w:szCs w:val="20"/>
        </w:rPr>
      </w:pPr>
    </w:p>
    <w:p w:rsidR="001016A7" w:rsidRPr="00CD13AA" w:rsidRDefault="001016A7" w:rsidP="001016A7">
      <w:pPr>
        <w:pStyle w:val="Default"/>
        <w:ind w:right="-569"/>
        <w:jc w:val="both"/>
        <w:rPr>
          <w:rFonts w:ascii="Bookman Old Style" w:hAnsi="Bookman Old Style"/>
          <w:color w:val="auto"/>
          <w:sz w:val="18"/>
          <w:szCs w:val="20"/>
        </w:rPr>
      </w:pPr>
      <w:r w:rsidRPr="00CD13AA">
        <w:rPr>
          <w:rFonts w:ascii="Bookman Old Style" w:hAnsi="Bookman Old Style"/>
          <w:color w:val="auto"/>
          <w:sz w:val="18"/>
          <w:szCs w:val="20"/>
        </w:rPr>
        <w:t>L’ADAG attend de l’adjudicateur</w:t>
      </w:r>
      <w:r w:rsidR="002C1FDD">
        <w:rPr>
          <w:rFonts w:ascii="Bookman Old Style" w:hAnsi="Bookman Old Style"/>
          <w:color w:val="auto"/>
          <w:sz w:val="18"/>
          <w:szCs w:val="20"/>
        </w:rPr>
        <w:t xml:space="preserve"> du marché</w:t>
      </w:r>
      <w:r w:rsidRPr="00CD13AA">
        <w:rPr>
          <w:rFonts w:ascii="Bookman Old Style" w:hAnsi="Bookman Old Style"/>
          <w:color w:val="auto"/>
          <w:sz w:val="18"/>
          <w:szCs w:val="20"/>
        </w:rPr>
        <w:t xml:space="preserve">, un bâtiment </w:t>
      </w:r>
      <w:r w:rsidR="002C1FDD">
        <w:rPr>
          <w:rFonts w:ascii="Bookman Old Style" w:hAnsi="Bookman Old Style"/>
          <w:color w:val="auto"/>
          <w:sz w:val="18"/>
          <w:szCs w:val="20"/>
        </w:rPr>
        <w:t xml:space="preserve">composé de </w:t>
      </w:r>
      <w:r w:rsidR="002C1FDD" w:rsidRPr="002C1FDD">
        <w:rPr>
          <w:rFonts w:ascii="Bookman Old Style" w:hAnsi="Bookman Old Style"/>
          <w:b/>
          <w:color w:val="auto"/>
          <w:sz w:val="18"/>
          <w:szCs w:val="20"/>
        </w:rPr>
        <w:t>14</w:t>
      </w:r>
      <w:r w:rsidRPr="002C1FDD">
        <w:rPr>
          <w:rFonts w:ascii="Bookman Old Style" w:hAnsi="Bookman Old Style"/>
          <w:b/>
          <w:color w:val="auto"/>
          <w:sz w:val="18"/>
          <w:szCs w:val="20"/>
        </w:rPr>
        <w:t xml:space="preserve"> compartiments</w:t>
      </w:r>
      <w:r w:rsidRPr="00CD13AA">
        <w:rPr>
          <w:rFonts w:ascii="Bookman Old Style" w:hAnsi="Bookman Old Style"/>
          <w:color w:val="auto"/>
          <w:sz w:val="18"/>
          <w:szCs w:val="20"/>
        </w:rPr>
        <w:t>. Chaque compartiment devra obéir</w:t>
      </w:r>
      <w:r w:rsidRPr="002C1FDD">
        <w:rPr>
          <w:rFonts w:ascii="Bookman Old Style" w:hAnsi="Bookman Old Style"/>
          <w:color w:val="auto"/>
          <w:sz w:val="18"/>
          <w:szCs w:val="20"/>
        </w:rPr>
        <w:t xml:space="preserve"> aux normes internationales, en terme d’espace, de la hauteur des paill</w:t>
      </w:r>
      <w:r w:rsidR="002C1FDD" w:rsidRPr="002C1FDD">
        <w:rPr>
          <w:rFonts w:ascii="Bookman Old Style" w:hAnsi="Bookman Old Style"/>
          <w:color w:val="auto"/>
          <w:sz w:val="18"/>
          <w:szCs w:val="20"/>
        </w:rPr>
        <w:t>ass</w:t>
      </w:r>
      <w:r w:rsidRPr="002C1FDD">
        <w:rPr>
          <w:rFonts w:ascii="Bookman Old Style" w:hAnsi="Bookman Old Style"/>
          <w:color w:val="auto"/>
          <w:sz w:val="18"/>
          <w:szCs w:val="20"/>
        </w:rPr>
        <w:t>es et d’autres accessoires, afin de</w:t>
      </w:r>
      <w:r w:rsidRPr="00CD13AA">
        <w:rPr>
          <w:rFonts w:ascii="Bookman Old Style" w:hAnsi="Bookman Old Style"/>
          <w:color w:val="00B050"/>
          <w:sz w:val="18"/>
          <w:szCs w:val="20"/>
        </w:rPr>
        <w:t xml:space="preserve"> </w:t>
      </w:r>
      <w:r w:rsidRPr="00CD13AA">
        <w:rPr>
          <w:rFonts w:ascii="Bookman Old Style" w:hAnsi="Bookman Old Style"/>
          <w:color w:val="auto"/>
          <w:sz w:val="18"/>
          <w:szCs w:val="20"/>
        </w:rPr>
        <w:t>garantir la sécurité humaine et l’environnementale. Le bâtiment sera doté d’un dispositif extérieur d’incinération</w:t>
      </w:r>
      <w:r w:rsidR="002C1FDD">
        <w:rPr>
          <w:rFonts w:ascii="Bookman Old Style" w:hAnsi="Bookman Old Style"/>
          <w:color w:val="auto"/>
          <w:sz w:val="18"/>
          <w:szCs w:val="20"/>
        </w:rPr>
        <w:t xml:space="preserve"> et d’un espace externe réservé au groupe électrogène</w:t>
      </w:r>
      <w:r w:rsidRPr="00CD13AA">
        <w:rPr>
          <w:rFonts w:ascii="Bookman Old Style" w:hAnsi="Bookman Old Style"/>
          <w:color w:val="auto"/>
          <w:sz w:val="18"/>
          <w:szCs w:val="20"/>
        </w:rPr>
        <w:t>.</w:t>
      </w:r>
    </w:p>
    <w:p w:rsidR="001016A7" w:rsidRPr="00CD13AA" w:rsidRDefault="001016A7" w:rsidP="001016A7">
      <w:pPr>
        <w:pStyle w:val="Default"/>
        <w:ind w:right="-569"/>
        <w:jc w:val="both"/>
        <w:rPr>
          <w:rFonts w:ascii="Bookman Old Style" w:hAnsi="Bookman Old Style"/>
          <w:color w:val="auto"/>
          <w:sz w:val="18"/>
          <w:szCs w:val="20"/>
        </w:rPr>
      </w:pPr>
      <w:r w:rsidRPr="00CD13AA">
        <w:rPr>
          <w:rFonts w:ascii="Bookman Old Style" w:hAnsi="Bookman Old Style"/>
          <w:color w:val="auto"/>
          <w:sz w:val="18"/>
          <w:szCs w:val="20"/>
        </w:rPr>
        <w:t>Le rapport final doit être présentés sous forme numérique et imprimé (en format numérique Word et document papier accompagné des annexes, dans un document à part) en 3 exemplaires et présenté à ADAG dans les délais prévus par la consultation.</w:t>
      </w:r>
    </w:p>
    <w:p w:rsidR="001016A7" w:rsidRPr="007B6CF9" w:rsidRDefault="001016A7" w:rsidP="001016A7">
      <w:pPr>
        <w:pStyle w:val="Default"/>
        <w:ind w:right="-569"/>
        <w:jc w:val="both"/>
        <w:rPr>
          <w:rFonts w:ascii="Bookman Old Style" w:hAnsi="Bookman Old Style"/>
          <w:color w:val="auto"/>
          <w:sz w:val="12"/>
          <w:szCs w:val="20"/>
        </w:rPr>
      </w:pPr>
    </w:p>
    <w:p w:rsidR="001016A7" w:rsidRPr="00CD13AA" w:rsidRDefault="001016A7" w:rsidP="001016A7">
      <w:pPr>
        <w:pStyle w:val="Paragraphedeliste"/>
        <w:numPr>
          <w:ilvl w:val="0"/>
          <w:numId w:val="1"/>
        </w:numPr>
        <w:spacing w:after="0"/>
        <w:ind w:left="426" w:right="-567" w:hanging="426"/>
        <w:jc w:val="both"/>
        <w:rPr>
          <w:rFonts w:ascii="Bookman Old Style" w:hAnsi="Bookman Old Style"/>
          <w:sz w:val="18"/>
          <w:szCs w:val="20"/>
        </w:rPr>
      </w:pPr>
      <w:r w:rsidRPr="00CD13AA">
        <w:rPr>
          <w:rFonts w:ascii="Bookman Old Style" w:hAnsi="Bookman Old Style"/>
          <w:b/>
          <w:sz w:val="18"/>
          <w:szCs w:val="20"/>
        </w:rPr>
        <w:t xml:space="preserve">Documents à fournir </w:t>
      </w:r>
    </w:p>
    <w:p w:rsidR="001016A7" w:rsidRPr="00CD13AA" w:rsidRDefault="001016A7" w:rsidP="001016A7">
      <w:pPr>
        <w:spacing w:after="0"/>
        <w:ind w:right="-567"/>
        <w:jc w:val="both"/>
        <w:rPr>
          <w:rFonts w:ascii="Bookman Old Style" w:hAnsi="Bookman Old Style"/>
          <w:sz w:val="18"/>
          <w:szCs w:val="20"/>
        </w:rPr>
      </w:pPr>
      <w:r w:rsidRPr="00CD13AA">
        <w:rPr>
          <w:rFonts w:ascii="Bookman Old Style" w:hAnsi="Bookman Old Style"/>
          <w:sz w:val="18"/>
          <w:szCs w:val="20"/>
        </w:rPr>
        <w:t>Pour être présélectionné, le</w:t>
      </w:r>
      <w:r w:rsidR="00D51E3A">
        <w:rPr>
          <w:rFonts w:ascii="Bookman Old Style" w:hAnsi="Bookman Old Style"/>
          <w:sz w:val="18"/>
          <w:szCs w:val="20"/>
        </w:rPr>
        <w:t>s Candidats doivent</w:t>
      </w:r>
      <w:r w:rsidRPr="00CD13AA">
        <w:rPr>
          <w:rFonts w:ascii="Bookman Old Style" w:hAnsi="Bookman Old Style"/>
          <w:sz w:val="18"/>
          <w:szCs w:val="20"/>
        </w:rPr>
        <w:t xml:space="preserve"> : </w:t>
      </w:r>
    </w:p>
    <w:p w:rsidR="001016A7" w:rsidRPr="00CD13AA" w:rsidRDefault="001016A7" w:rsidP="001016A7">
      <w:pPr>
        <w:pStyle w:val="Paragraphedeliste"/>
        <w:numPr>
          <w:ilvl w:val="1"/>
          <w:numId w:val="2"/>
        </w:numPr>
        <w:spacing w:after="0"/>
        <w:ind w:left="284" w:right="-567" w:hanging="284"/>
        <w:jc w:val="both"/>
        <w:rPr>
          <w:rFonts w:ascii="Bookman Old Style" w:hAnsi="Bookman Old Style"/>
          <w:sz w:val="18"/>
          <w:szCs w:val="20"/>
        </w:rPr>
      </w:pPr>
      <w:r w:rsidRPr="00CD13AA">
        <w:rPr>
          <w:rFonts w:ascii="Bookman Old Style" w:hAnsi="Bookman Old Style"/>
          <w:sz w:val="18"/>
          <w:szCs w:val="20"/>
        </w:rPr>
        <w:t xml:space="preserve">Adresser une lettre de manifestation d’intérêt </w:t>
      </w:r>
    </w:p>
    <w:p w:rsidR="001016A7" w:rsidRPr="00CD13AA" w:rsidRDefault="001016A7" w:rsidP="001016A7">
      <w:pPr>
        <w:pStyle w:val="Paragraphedeliste"/>
        <w:numPr>
          <w:ilvl w:val="1"/>
          <w:numId w:val="2"/>
        </w:numPr>
        <w:spacing w:after="0"/>
        <w:ind w:left="284" w:right="-567" w:hanging="284"/>
        <w:jc w:val="both"/>
        <w:rPr>
          <w:rFonts w:ascii="Bookman Old Style" w:hAnsi="Bookman Old Style"/>
          <w:sz w:val="18"/>
          <w:szCs w:val="20"/>
        </w:rPr>
      </w:pPr>
      <w:r w:rsidRPr="00CD13AA">
        <w:rPr>
          <w:rFonts w:ascii="Bookman Old Style" w:hAnsi="Bookman Old Style"/>
          <w:sz w:val="18"/>
          <w:szCs w:val="20"/>
        </w:rPr>
        <w:t>Fournir des copies des documents les plus récents décrivant leur organisation interne, leur statut légal, lieu d’enregistrement du siège ainsi que toute la documentation correspondante.</w:t>
      </w:r>
    </w:p>
    <w:p w:rsidR="001016A7" w:rsidRPr="00CD13AA" w:rsidRDefault="001016A7" w:rsidP="001016A7">
      <w:pPr>
        <w:pStyle w:val="Paragraphedeliste"/>
        <w:numPr>
          <w:ilvl w:val="1"/>
          <w:numId w:val="2"/>
        </w:numPr>
        <w:spacing w:after="0"/>
        <w:ind w:left="284" w:right="-567" w:hanging="284"/>
        <w:jc w:val="both"/>
        <w:rPr>
          <w:rFonts w:ascii="Bookman Old Style" w:hAnsi="Bookman Old Style"/>
          <w:sz w:val="18"/>
          <w:szCs w:val="20"/>
        </w:rPr>
      </w:pPr>
      <w:r w:rsidRPr="00CD13AA">
        <w:rPr>
          <w:rFonts w:ascii="Bookman Old Style" w:hAnsi="Bookman Old Style"/>
          <w:sz w:val="18"/>
          <w:szCs w:val="20"/>
        </w:rPr>
        <w:t xml:space="preserve">Présenter l’organisation de l’Entreprise, indiquant le nombre total d’employés au moment du dépôt de la candidature </w:t>
      </w:r>
    </w:p>
    <w:p w:rsidR="001016A7" w:rsidRPr="00CD13AA" w:rsidRDefault="001016A7" w:rsidP="001016A7">
      <w:pPr>
        <w:pStyle w:val="Paragraphedeliste"/>
        <w:numPr>
          <w:ilvl w:val="1"/>
          <w:numId w:val="2"/>
        </w:numPr>
        <w:spacing w:after="0"/>
        <w:ind w:left="284" w:right="-567" w:hanging="284"/>
        <w:jc w:val="both"/>
        <w:rPr>
          <w:rFonts w:ascii="Bookman Old Style" w:hAnsi="Bookman Old Style"/>
          <w:sz w:val="18"/>
          <w:szCs w:val="20"/>
        </w:rPr>
      </w:pPr>
      <w:r w:rsidRPr="00CD13AA">
        <w:rPr>
          <w:rFonts w:ascii="Bookman Old Style" w:hAnsi="Bookman Old Style"/>
          <w:sz w:val="18"/>
          <w:szCs w:val="20"/>
        </w:rPr>
        <w:t xml:space="preserve">Présenter les états financiers des trois dernières années (2017, 2018 et 2019), certifiés par un commissaire aux comptes. </w:t>
      </w:r>
    </w:p>
    <w:p w:rsidR="001016A7" w:rsidRPr="00CD13AA" w:rsidRDefault="001016A7" w:rsidP="001016A7">
      <w:pPr>
        <w:pStyle w:val="Paragraphedeliste"/>
        <w:numPr>
          <w:ilvl w:val="1"/>
          <w:numId w:val="2"/>
        </w:numPr>
        <w:spacing w:after="0"/>
        <w:ind w:left="284" w:right="-567" w:hanging="284"/>
        <w:jc w:val="both"/>
        <w:rPr>
          <w:rFonts w:ascii="Bookman Old Style" w:hAnsi="Bookman Old Style"/>
          <w:sz w:val="18"/>
          <w:szCs w:val="20"/>
        </w:rPr>
      </w:pPr>
      <w:r w:rsidRPr="00CD13AA">
        <w:rPr>
          <w:rFonts w:ascii="Bookman Old Style" w:hAnsi="Bookman Old Style"/>
          <w:sz w:val="18"/>
          <w:szCs w:val="20"/>
        </w:rPr>
        <w:t xml:space="preserve">Présenter une liste du personnel d’encadrement de l’entreprise avec les C.V., notamment les directeurs de projet, les directeurs des travaux, les responsables du matériel, les responsables de la qualité, les chefs de chantier (génie civil, électricité, plomberie, etc.). </w:t>
      </w:r>
    </w:p>
    <w:p w:rsidR="001016A7" w:rsidRPr="00CD13AA" w:rsidRDefault="001016A7" w:rsidP="001016A7">
      <w:pPr>
        <w:pStyle w:val="Paragraphedeliste"/>
        <w:numPr>
          <w:ilvl w:val="1"/>
          <w:numId w:val="2"/>
        </w:numPr>
        <w:spacing w:after="0"/>
        <w:ind w:left="284" w:right="-567" w:hanging="284"/>
        <w:jc w:val="both"/>
        <w:rPr>
          <w:rFonts w:ascii="Bookman Old Style" w:hAnsi="Bookman Old Style"/>
          <w:sz w:val="18"/>
          <w:szCs w:val="20"/>
        </w:rPr>
      </w:pPr>
      <w:r w:rsidRPr="00CD13AA">
        <w:rPr>
          <w:rFonts w:ascii="Bookman Old Style" w:hAnsi="Bookman Old Style"/>
          <w:sz w:val="18"/>
          <w:szCs w:val="20"/>
        </w:rPr>
        <w:t xml:space="preserve">Décrire succinctement l’organisation qu’il envisage mettre en place pour mener à bien le projet </w:t>
      </w:r>
    </w:p>
    <w:p w:rsidR="001016A7" w:rsidRPr="00CD13AA" w:rsidRDefault="001016A7" w:rsidP="001016A7">
      <w:pPr>
        <w:pStyle w:val="Paragraphedeliste"/>
        <w:numPr>
          <w:ilvl w:val="1"/>
          <w:numId w:val="2"/>
        </w:numPr>
        <w:spacing w:after="0"/>
        <w:ind w:left="284" w:right="-567" w:hanging="284"/>
        <w:jc w:val="both"/>
        <w:rPr>
          <w:rFonts w:ascii="Bookman Old Style" w:hAnsi="Bookman Old Style"/>
          <w:sz w:val="18"/>
          <w:szCs w:val="20"/>
        </w:rPr>
      </w:pPr>
      <w:r w:rsidRPr="00CD13AA">
        <w:rPr>
          <w:rFonts w:ascii="Bookman Old Style" w:hAnsi="Bookman Old Style"/>
          <w:sz w:val="18"/>
          <w:szCs w:val="20"/>
        </w:rPr>
        <w:t>Présenter la liste des projets déjà réalisés dans le dom</w:t>
      </w:r>
      <w:r w:rsidR="002C1FDD">
        <w:rPr>
          <w:rFonts w:ascii="Bookman Old Style" w:hAnsi="Bookman Old Style"/>
          <w:sz w:val="18"/>
          <w:szCs w:val="20"/>
        </w:rPr>
        <w:t>aine du bâtiment et génie civil.</w:t>
      </w:r>
    </w:p>
    <w:p w:rsidR="001016A7" w:rsidRPr="007B6CF9" w:rsidRDefault="001016A7" w:rsidP="001016A7">
      <w:pPr>
        <w:pStyle w:val="Default"/>
        <w:ind w:right="-569"/>
        <w:jc w:val="both"/>
        <w:rPr>
          <w:sz w:val="12"/>
        </w:rPr>
      </w:pPr>
    </w:p>
    <w:p w:rsidR="002C1FDD" w:rsidRPr="00CD13AA" w:rsidRDefault="002C1FDD" w:rsidP="002C1FDD">
      <w:pPr>
        <w:pStyle w:val="Paragraphedeliste"/>
        <w:numPr>
          <w:ilvl w:val="0"/>
          <w:numId w:val="1"/>
        </w:numPr>
        <w:spacing w:after="0"/>
        <w:ind w:left="426" w:right="-567" w:hanging="426"/>
        <w:jc w:val="both"/>
        <w:rPr>
          <w:rFonts w:ascii="Bookman Old Style" w:hAnsi="Bookman Old Style"/>
          <w:b/>
          <w:sz w:val="18"/>
          <w:szCs w:val="20"/>
        </w:rPr>
      </w:pPr>
      <w:r w:rsidRPr="00CD13AA">
        <w:rPr>
          <w:rFonts w:ascii="Bookman Old Style" w:hAnsi="Bookman Old Style"/>
          <w:b/>
          <w:sz w:val="18"/>
          <w:szCs w:val="20"/>
        </w:rPr>
        <w:t xml:space="preserve">Vérification de la Conformité des propositions </w:t>
      </w:r>
    </w:p>
    <w:p w:rsidR="002C1FDD" w:rsidRPr="00CD13AA" w:rsidRDefault="002C1FDD" w:rsidP="002C1FDD">
      <w:pPr>
        <w:pStyle w:val="Default"/>
        <w:ind w:right="-569"/>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 xml:space="preserve">L’ADAG vérifiera d’abord la conformité des dossiers de candidature par rapport aux exigences ci-dessus. Elle peut demander aux candidats, si elle le juge utile, de produire dans un délai qui leur sera fixé, tous compléments de dossiers utiles pouvant préciser les données fournies par les candidats, sans porter atteinte à la concurrence. Les propositions comportant des réserves, seront jugées non recevables et ne seront pas examinées. </w:t>
      </w:r>
    </w:p>
    <w:p w:rsidR="002C1FDD" w:rsidRPr="007B6CF9" w:rsidRDefault="002C1FDD" w:rsidP="001016A7">
      <w:pPr>
        <w:pStyle w:val="Default"/>
        <w:ind w:right="-569"/>
        <w:jc w:val="both"/>
        <w:rPr>
          <w:sz w:val="12"/>
        </w:rPr>
      </w:pPr>
    </w:p>
    <w:p w:rsidR="001016A7" w:rsidRPr="00CD13AA" w:rsidRDefault="00623C1E" w:rsidP="001016A7">
      <w:pPr>
        <w:pStyle w:val="Default"/>
        <w:numPr>
          <w:ilvl w:val="0"/>
          <w:numId w:val="1"/>
        </w:numPr>
        <w:ind w:left="426" w:right="-569" w:hanging="426"/>
        <w:jc w:val="both"/>
        <w:rPr>
          <w:rFonts w:ascii="Bookman Old Style" w:hAnsi="Bookman Old Style" w:cstheme="minorBidi"/>
          <w:b/>
          <w:color w:val="auto"/>
          <w:sz w:val="18"/>
          <w:szCs w:val="20"/>
        </w:rPr>
      </w:pPr>
      <w:r w:rsidRPr="00CD13AA">
        <w:rPr>
          <w:rFonts w:ascii="Bookman Old Style" w:hAnsi="Bookman Old Style"/>
          <w:b/>
          <w:bCs/>
          <w:color w:val="auto"/>
          <w:sz w:val="18"/>
          <w:szCs w:val="20"/>
        </w:rPr>
        <w:t>Remise des offres</w:t>
      </w:r>
      <w:r w:rsidRPr="00CD13AA">
        <w:rPr>
          <w:rFonts w:ascii="Bookman Old Style" w:hAnsi="Bookman Old Style" w:cstheme="minorBidi"/>
          <w:b/>
          <w:color w:val="auto"/>
          <w:sz w:val="18"/>
          <w:szCs w:val="20"/>
        </w:rPr>
        <w:t xml:space="preserve"> </w:t>
      </w:r>
      <w:r>
        <w:rPr>
          <w:rFonts w:ascii="Bookman Old Style" w:hAnsi="Bookman Old Style" w:cstheme="minorBidi"/>
          <w:b/>
          <w:color w:val="auto"/>
          <w:sz w:val="18"/>
          <w:szCs w:val="20"/>
        </w:rPr>
        <w:t xml:space="preserve">et </w:t>
      </w:r>
      <w:r w:rsidR="001016A7" w:rsidRPr="00CD13AA">
        <w:rPr>
          <w:rFonts w:ascii="Bookman Old Style" w:hAnsi="Bookman Old Style" w:cstheme="minorBidi"/>
          <w:b/>
          <w:color w:val="auto"/>
          <w:sz w:val="18"/>
          <w:szCs w:val="20"/>
        </w:rPr>
        <w:t xml:space="preserve">Date limite de réception des propositions </w:t>
      </w:r>
    </w:p>
    <w:p w:rsidR="00623C1E" w:rsidRPr="00CD13AA" w:rsidRDefault="00623C1E" w:rsidP="00623C1E">
      <w:pPr>
        <w:pStyle w:val="Default"/>
        <w:ind w:right="-569"/>
        <w:jc w:val="both"/>
        <w:rPr>
          <w:rFonts w:ascii="Bookman Old Style" w:hAnsi="Bookman Old Style"/>
          <w:color w:val="auto"/>
          <w:sz w:val="18"/>
          <w:szCs w:val="20"/>
        </w:rPr>
      </w:pPr>
      <w:r w:rsidRPr="00CD13AA">
        <w:rPr>
          <w:rFonts w:ascii="Bookman Old Style" w:hAnsi="Bookman Old Style"/>
          <w:color w:val="auto"/>
          <w:sz w:val="18"/>
          <w:szCs w:val="20"/>
        </w:rPr>
        <w:t xml:space="preserve">Le candidat doit soumettre son offre sous pli fermé dans deux enveloppes séparées portant sur le verso « offre technique ». L’enveloppe doit être bien fermée sans logo, portant la mention </w:t>
      </w:r>
      <w:r w:rsidRPr="00CD13AA">
        <w:rPr>
          <w:rFonts w:ascii="Bookman Old Style" w:hAnsi="Bookman Old Style"/>
          <w:b/>
          <w:bCs/>
          <w:color w:val="auto"/>
          <w:sz w:val="18"/>
          <w:szCs w:val="20"/>
        </w:rPr>
        <w:t xml:space="preserve">« </w:t>
      </w:r>
      <w:r w:rsidRPr="00CD13AA">
        <w:rPr>
          <w:rFonts w:ascii="Bookman Old Style" w:hAnsi="Bookman Old Style"/>
          <w:color w:val="auto"/>
          <w:sz w:val="18"/>
          <w:szCs w:val="20"/>
        </w:rPr>
        <w:t>pour recrutement d’un</w:t>
      </w:r>
      <w:r>
        <w:rPr>
          <w:rFonts w:ascii="Bookman Old Style" w:hAnsi="Bookman Old Style"/>
          <w:color w:val="auto"/>
          <w:sz w:val="18"/>
          <w:szCs w:val="20"/>
        </w:rPr>
        <w:t>e Entreprise de construction bâtiment</w:t>
      </w:r>
      <w:r w:rsidRPr="00CD13AA">
        <w:rPr>
          <w:rFonts w:ascii="Bookman Old Style" w:hAnsi="Bookman Old Style" w:cstheme="minorBidi"/>
          <w:color w:val="auto"/>
          <w:sz w:val="18"/>
          <w:szCs w:val="20"/>
        </w:rPr>
        <w:t xml:space="preserve"> </w:t>
      </w:r>
      <w:r w:rsidRPr="00CD13AA">
        <w:rPr>
          <w:rFonts w:ascii="Bookman Old Style" w:hAnsi="Bookman Old Style"/>
          <w:b/>
          <w:bCs/>
          <w:color w:val="auto"/>
          <w:sz w:val="18"/>
          <w:szCs w:val="20"/>
        </w:rPr>
        <w:t xml:space="preserve">», </w:t>
      </w:r>
      <w:r w:rsidRPr="00CD13AA">
        <w:rPr>
          <w:rFonts w:ascii="Bookman Old Style" w:hAnsi="Bookman Old Style"/>
          <w:color w:val="auto"/>
          <w:sz w:val="18"/>
          <w:szCs w:val="20"/>
        </w:rPr>
        <w:t xml:space="preserve">adressée à : </w:t>
      </w:r>
      <w:r w:rsidRPr="00CD13AA">
        <w:rPr>
          <w:rFonts w:ascii="Bookman Old Style" w:hAnsi="Bookman Old Style"/>
          <w:b/>
          <w:i/>
          <w:color w:val="auto"/>
          <w:sz w:val="18"/>
          <w:szCs w:val="20"/>
        </w:rPr>
        <w:t xml:space="preserve">Mr le Directeur Général de l’Agence de Développement Agricole du Gabon, </w:t>
      </w:r>
      <w:r w:rsidRPr="00CD13AA">
        <w:rPr>
          <w:rFonts w:ascii="Bookman Old Style" w:hAnsi="Bookman Old Style"/>
          <w:b/>
          <w:bCs/>
          <w:i/>
          <w:color w:val="auto"/>
          <w:sz w:val="18"/>
          <w:szCs w:val="20"/>
        </w:rPr>
        <w:t xml:space="preserve">au plus tard le </w:t>
      </w:r>
      <w:r>
        <w:rPr>
          <w:rFonts w:ascii="Bookman Old Style" w:hAnsi="Bookman Old Style" w:cstheme="minorBidi"/>
          <w:color w:val="auto"/>
          <w:sz w:val="18"/>
          <w:szCs w:val="20"/>
        </w:rPr>
        <w:t>04</w:t>
      </w:r>
      <w:r w:rsidRPr="00CD13AA">
        <w:rPr>
          <w:rFonts w:ascii="Bookman Old Style" w:hAnsi="Bookman Old Style" w:cstheme="minorBidi"/>
          <w:color w:val="auto"/>
          <w:sz w:val="18"/>
          <w:szCs w:val="20"/>
        </w:rPr>
        <w:t>/</w:t>
      </w:r>
      <w:r>
        <w:rPr>
          <w:rFonts w:ascii="Bookman Old Style" w:hAnsi="Bookman Old Style" w:cstheme="minorBidi"/>
          <w:color w:val="auto"/>
          <w:sz w:val="18"/>
          <w:szCs w:val="20"/>
        </w:rPr>
        <w:t>01/2021 à 12</w:t>
      </w:r>
      <w:r w:rsidRPr="00CD13AA">
        <w:rPr>
          <w:rFonts w:ascii="Bookman Old Style" w:hAnsi="Bookman Old Style" w:cstheme="minorBidi"/>
          <w:color w:val="auto"/>
          <w:sz w:val="18"/>
          <w:szCs w:val="20"/>
        </w:rPr>
        <w:t>H00</w:t>
      </w:r>
      <w:r w:rsidRPr="00CD13AA">
        <w:rPr>
          <w:rFonts w:ascii="Bookman Old Style" w:hAnsi="Bookman Old Style"/>
          <w:bCs/>
          <w:color w:val="auto"/>
          <w:sz w:val="18"/>
          <w:szCs w:val="20"/>
        </w:rPr>
        <w:t>.</w:t>
      </w:r>
      <w:r w:rsidRPr="00CD13AA">
        <w:rPr>
          <w:rFonts w:ascii="Bookman Old Style" w:hAnsi="Bookman Old Style"/>
          <w:b/>
          <w:bCs/>
          <w:color w:val="auto"/>
          <w:sz w:val="18"/>
          <w:szCs w:val="20"/>
        </w:rPr>
        <w:t xml:space="preserve"> </w:t>
      </w:r>
    </w:p>
    <w:p w:rsidR="001016A7" w:rsidRPr="007B6CF9" w:rsidRDefault="001016A7" w:rsidP="001016A7">
      <w:pPr>
        <w:pStyle w:val="Default"/>
        <w:ind w:left="426" w:right="-569" w:hanging="426"/>
        <w:jc w:val="both"/>
        <w:rPr>
          <w:rFonts w:ascii="Bookman Old Style" w:hAnsi="Bookman Old Style" w:cstheme="minorBidi"/>
          <w:color w:val="auto"/>
          <w:sz w:val="12"/>
          <w:szCs w:val="20"/>
        </w:rPr>
      </w:pPr>
    </w:p>
    <w:p w:rsidR="001016A7" w:rsidRPr="00CD13AA" w:rsidRDefault="001016A7" w:rsidP="001016A7">
      <w:pPr>
        <w:pStyle w:val="Default"/>
        <w:numPr>
          <w:ilvl w:val="0"/>
          <w:numId w:val="1"/>
        </w:numPr>
        <w:ind w:left="426" w:right="-569" w:hanging="426"/>
        <w:jc w:val="both"/>
        <w:rPr>
          <w:rFonts w:ascii="Bookman Old Style" w:hAnsi="Bookman Old Style" w:cstheme="minorBidi"/>
          <w:b/>
          <w:color w:val="auto"/>
          <w:sz w:val="18"/>
          <w:szCs w:val="20"/>
        </w:rPr>
      </w:pPr>
      <w:r w:rsidRPr="00CD13AA">
        <w:rPr>
          <w:rFonts w:ascii="Bookman Old Style" w:hAnsi="Bookman Old Style" w:cstheme="minorBidi"/>
          <w:b/>
          <w:color w:val="auto"/>
          <w:sz w:val="18"/>
          <w:szCs w:val="20"/>
        </w:rPr>
        <w:t xml:space="preserve">Ouverture des plis </w:t>
      </w:r>
    </w:p>
    <w:p w:rsidR="001016A7" w:rsidRPr="00CD13AA" w:rsidRDefault="001016A7" w:rsidP="001016A7">
      <w:pPr>
        <w:pStyle w:val="Default"/>
        <w:ind w:right="-569"/>
        <w:jc w:val="both"/>
        <w:rPr>
          <w:rFonts w:ascii="Bookman Old Style" w:hAnsi="Bookman Old Style"/>
          <w:color w:val="auto"/>
          <w:sz w:val="18"/>
          <w:szCs w:val="20"/>
        </w:rPr>
      </w:pPr>
      <w:r w:rsidRPr="00CD13AA">
        <w:rPr>
          <w:rFonts w:ascii="Bookman Old Style" w:hAnsi="Bookman Old Style" w:cstheme="minorBidi"/>
          <w:color w:val="auto"/>
          <w:sz w:val="18"/>
          <w:szCs w:val="20"/>
        </w:rPr>
        <w:t>L’ouverture des plis aura lieu dans les locaux de l’ADAG</w:t>
      </w:r>
      <w:r w:rsidR="00623C1E">
        <w:rPr>
          <w:rFonts w:ascii="Bookman Old Style" w:hAnsi="Bookman Old Style" w:cstheme="minorBidi"/>
          <w:color w:val="auto"/>
          <w:sz w:val="18"/>
          <w:szCs w:val="20"/>
        </w:rPr>
        <w:t xml:space="preserve"> le 05 janvier 2021 à 10 heures. </w:t>
      </w:r>
      <w:r w:rsidRPr="00CD13AA">
        <w:rPr>
          <w:rFonts w:ascii="Bookman Old Style" w:hAnsi="Bookman Old Style"/>
          <w:color w:val="auto"/>
          <w:sz w:val="18"/>
          <w:szCs w:val="20"/>
        </w:rPr>
        <w:t xml:space="preserve">Après examen des dossiers, le (la) candidat(e) retenu(e) sera contacté (e) directement par l’ADAG. </w:t>
      </w:r>
    </w:p>
    <w:p w:rsidR="001016A7" w:rsidRPr="00CD13AA" w:rsidRDefault="001016A7" w:rsidP="001016A7">
      <w:pPr>
        <w:pStyle w:val="Default"/>
        <w:ind w:left="426" w:right="-569" w:hanging="426"/>
        <w:jc w:val="both"/>
        <w:rPr>
          <w:rFonts w:ascii="Bookman Old Style" w:hAnsi="Bookman Old Style" w:cstheme="minorBidi"/>
          <w:color w:val="auto"/>
          <w:sz w:val="18"/>
          <w:szCs w:val="20"/>
        </w:rPr>
      </w:pPr>
    </w:p>
    <w:p w:rsidR="001016A7" w:rsidRPr="00CD13AA" w:rsidRDefault="001016A7" w:rsidP="00623C1E">
      <w:pPr>
        <w:pStyle w:val="Default"/>
        <w:numPr>
          <w:ilvl w:val="0"/>
          <w:numId w:val="1"/>
        </w:numPr>
        <w:ind w:left="426" w:right="-569" w:hanging="426"/>
        <w:jc w:val="both"/>
        <w:rPr>
          <w:rFonts w:ascii="Bookman Old Style" w:hAnsi="Bookman Old Style" w:cstheme="minorBidi"/>
          <w:b/>
          <w:color w:val="auto"/>
          <w:sz w:val="18"/>
          <w:szCs w:val="20"/>
        </w:rPr>
      </w:pPr>
      <w:r w:rsidRPr="00CD13AA">
        <w:rPr>
          <w:rFonts w:ascii="Bookman Old Style" w:hAnsi="Bookman Old Style" w:cstheme="minorBidi"/>
          <w:b/>
          <w:color w:val="auto"/>
          <w:sz w:val="18"/>
          <w:szCs w:val="20"/>
        </w:rPr>
        <w:t xml:space="preserve">Evaluation des propositions </w:t>
      </w:r>
    </w:p>
    <w:p w:rsidR="001016A7" w:rsidRPr="00CD13AA" w:rsidRDefault="001016A7" w:rsidP="001016A7">
      <w:pPr>
        <w:pStyle w:val="Default"/>
        <w:ind w:right="-569"/>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lastRenderedPageBreak/>
        <w:t xml:space="preserve">Seules les propositions jugées recevables seront évaluées techniquement. L’évaluation portera sur les critères suivants : </w:t>
      </w:r>
    </w:p>
    <w:p w:rsidR="001016A7" w:rsidRPr="00CD13AA" w:rsidRDefault="001016A7" w:rsidP="001016A7">
      <w:pPr>
        <w:pStyle w:val="Default"/>
        <w:ind w:left="426" w:right="-569" w:hanging="426"/>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 xml:space="preserve">- Qualité de présentation du dossier de candidature </w:t>
      </w:r>
    </w:p>
    <w:p w:rsidR="001016A7" w:rsidRPr="00CD13AA" w:rsidRDefault="001016A7" w:rsidP="001016A7">
      <w:pPr>
        <w:pStyle w:val="Default"/>
        <w:ind w:left="426" w:right="-569" w:hanging="426"/>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 xml:space="preserve">- Références techniques (générales et spécifiques) </w:t>
      </w:r>
    </w:p>
    <w:p w:rsidR="001016A7" w:rsidRPr="00CD13AA" w:rsidRDefault="001016A7" w:rsidP="001016A7">
      <w:pPr>
        <w:pStyle w:val="Default"/>
        <w:ind w:left="426" w:right="-569" w:hanging="426"/>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 xml:space="preserve">- Situation financière </w:t>
      </w:r>
    </w:p>
    <w:p w:rsidR="001016A7" w:rsidRPr="00CD13AA" w:rsidRDefault="001016A7" w:rsidP="001016A7">
      <w:pPr>
        <w:pStyle w:val="Default"/>
        <w:ind w:left="426" w:right="-569" w:hanging="426"/>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 xml:space="preserve">- Moyens humains </w:t>
      </w:r>
    </w:p>
    <w:p w:rsidR="001016A7" w:rsidRPr="00CD13AA" w:rsidRDefault="001016A7" w:rsidP="001016A7">
      <w:pPr>
        <w:pStyle w:val="Default"/>
        <w:ind w:left="426" w:right="-569" w:hanging="426"/>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 xml:space="preserve">- Moyens matériels </w:t>
      </w:r>
    </w:p>
    <w:p w:rsidR="001016A7" w:rsidRPr="00CD13AA" w:rsidRDefault="001016A7" w:rsidP="001016A7">
      <w:pPr>
        <w:pStyle w:val="Default"/>
        <w:ind w:left="426" w:right="-569" w:hanging="426"/>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 xml:space="preserve">- Organisation du candidat (générale de la société du candidat et celle prévue pour le projet) </w:t>
      </w:r>
    </w:p>
    <w:p w:rsidR="001016A7" w:rsidRPr="007B6CF9" w:rsidRDefault="001016A7" w:rsidP="001016A7">
      <w:pPr>
        <w:pStyle w:val="Default"/>
        <w:ind w:left="426" w:right="-569" w:hanging="426"/>
        <w:jc w:val="both"/>
        <w:rPr>
          <w:rFonts w:ascii="Bookman Old Style" w:hAnsi="Bookman Old Style" w:cstheme="minorBidi"/>
          <w:color w:val="auto"/>
          <w:sz w:val="12"/>
          <w:szCs w:val="20"/>
        </w:rPr>
      </w:pPr>
    </w:p>
    <w:p w:rsidR="001016A7" w:rsidRPr="00CD13AA" w:rsidRDefault="001016A7" w:rsidP="00623C1E">
      <w:pPr>
        <w:pStyle w:val="Default"/>
        <w:numPr>
          <w:ilvl w:val="0"/>
          <w:numId w:val="1"/>
        </w:numPr>
        <w:ind w:left="426" w:right="-569" w:hanging="426"/>
        <w:jc w:val="both"/>
        <w:rPr>
          <w:rFonts w:ascii="Bookman Old Style" w:hAnsi="Bookman Old Style" w:cstheme="minorBidi"/>
          <w:b/>
          <w:color w:val="auto"/>
          <w:sz w:val="18"/>
          <w:szCs w:val="20"/>
        </w:rPr>
      </w:pPr>
      <w:r w:rsidRPr="00CD13AA">
        <w:rPr>
          <w:rFonts w:ascii="Bookman Old Style" w:hAnsi="Bookman Old Style" w:cstheme="minorBidi"/>
          <w:b/>
          <w:color w:val="auto"/>
          <w:sz w:val="18"/>
          <w:szCs w:val="20"/>
        </w:rPr>
        <w:t xml:space="preserve">Suite à donner à l’appel à candidature </w:t>
      </w:r>
    </w:p>
    <w:p w:rsidR="001016A7" w:rsidRPr="00CD13AA" w:rsidRDefault="001016A7" w:rsidP="001016A7">
      <w:pPr>
        <w:pStyle w:val="Default"/>
        <w:ind w:right="-569"/>
        <w:jc w:val="both"/>
        <w:rPr>
          <w:rFonts w:ascii="Bookman Old Style" w:hAnsi="Bookman Old Style" w:cstheme="minorBidi"/>
          <w:color w:val="auto"/>
          <w:sz w:val="18"/>
          <w:szCs w:val="20"/>
        </w:rPr>
      </w:pPr>
      <w:r w:rsidRPr="00CD13AA">
        <w:rPr>
          <w:rFonts w:ascii="Bookman Old Style" w:hAnsi="Bookman Old Style" w:cstheme="minorBidi"/>
          <w:color w:val="auto"/>
          <w:sz w:val="18"/>
          <w:szCs w:val="20"/>
        </w:rPr>
        <w:t>L’ADAG se réserve le droit d’écourter, de proroger, de reporter, de modifier ou d’annuler le présent Appel à candidature quel que soit le motif. Elle s’engage à en informer les participants mais sa responsabilité ne saurait être engagée par ce fait.</w:t>
      </w:r>
    </w:p>
    <w:p w:rsidR="001016A7" w:rsidRPr="007B6CF9" w:rsidRDefault="001016A7" w:rsidP="001016A7">
      <w:pPr>
        <w:pStyle w:val="Default"/>
        <w:ind w:left="426" w:right="-569" w:hanging="426"/>
        <w:jc w:val="both"/>
        <w:rPr>
          <w:rFonts w:ascii="Bookman Old Style" w:hAnsi="Bookman Old Style" w:cstheme="minorBidi"/>
          <w:color w:val="auto"/>
          <w:sz w:val="12"/>
          <w:szCs w:val="20"/>
        </w:rPr>
      </w:pPr>
    </w:p>
    <w:p w:rsidR="001016A7" w:rsidRPr="00623C1E" w:rsidRDefault="001016A7" w:rsidP="00623C1E">
      <w:pPr>
        <w:pStyle w:val="Default"/>
        <w:numPr>
          <w:ilvl w:val="0"/>
          <w:numId w:val="1"/>
        </w:numPr>
        <w:ind w:left="426" w:right="-569" w:hanging="426"/>
        <w:jc w:val="both"/>
        <w:rPr>
          <w:rFonts w:ascii="Bookman Old Style" w:hAnsi="Bookman Old Style" w:cstheme="minorBidi"/>
          <w:b/>
          <w:color w:val="auto"/>
          <w:sz w:val="18"/>
          <w:szCs w:val="20"/>
        </w:rPr>
      </w:pPr>
      <w:r w:rsidRPr="00623C1E">
        <w:rPr>
          <w:rFonts w:ascii="Bookman Old Style" w:hAnsi="Bookman Old Style" w:cstheme="minorBidi"/>
          <w:b/>
          <w:color w:val="auto"/>
          <w:sz w:val="18"/>
          <w:szCs w:val="20"/>
        </w:rPr>
        <w:t xml:space="preserve">Durée d’exécution des travaux </w:t>
      </w:r>
    </w:p>
    <w:p w:rsidR="001016A7" w:rsidRPr="00CD13AA" w:rsidRDefault="001016A7" w:rsidP="001016A7">
      <w:pPr>
        <w:pStyle w:val="Default"/>
        <w:ind w:right="-569"/>
        <w:jc w:val="both"/>
        <w:rPr>
          <w:rFonts w:ascii="Bookman Old Style" w:hAnsi="Bookman Old Style"/>
          <w:color w:val="auto"/>
          <w:sz w:val="10"/>
          <w:szCs w:val="20"/>
        </w:rPr>
      </w:pPr>
    </w:p>
    <w:p w:rsidR="001016A7" w:rsidRPr="00CD13AA" w:rsidRDefault="001016A7" w:rsidP="001016A7">
      <w:pPr>
        <w:pStyle w:val="Default"/>
        <w:ind w:right="-569"/>
        <w:jc w:val="both"/>
        <w:rPr>
          <w:rFonts w:ascii="Bookman Old Style" w:hAnsi="Bookman Old Style"/>
          <w:color w:val="auto"/>
          <w:sz w:val="18"/>
          <w:szCs w:val="20"/>
        </w:rPr>
      </w:pPr>
      <w:r w:rsidRPr="00CD13AA">
        <w:rPr>
          <w:rFonts w:ascii="Bookman Old Style" w:hAnsi="Bookman Old Style"/>
          <w:color w:val="auto"/>
          <w:sz w:val="18"/>
          <w:szCs w:val="20"/>
        </w:rPr>
        <w:t xml:space="preserve">La durée d’exécution des travaux est de </w:t>
      </w:r>
      <w:r w:rsidR="00623C1E">
        <w:rPr>
          <w:rFonts w:ascii="Bookman Old Style" w:hAnsi="Bookman Old Style"/>
          <w:color w:val="auto"/>
          <w:sz w:val="18"/>
          <w:szCs w:val="20"/>
        </w:rPr>
        <w:t>trois (03)</w:t>
      </w:r>
      <w:r w:rsidRPr="00CD13AA">
        <w:rPr>
          <w:rFonts w:ascii="Bookman Old Style" w:hAnsi="Bookman Old Style"/>
          <w:color w:val="auto"/>
          <w:sz w:val="18"/>
          <w:szCs w:val="20"/>
        </w:rPr>
        <w:t xml:space="preserve"> mois à partir de la date de transfert des fonds à l’adjudicataire du marché.</w:t>
      </w:r>
    </w:p>
    <w:p w:rsidR="001016A7" w:rsidRPr="00CD13AA" w:rsidRDefault="001016A7" w:rsidP="001016A7">
      <w:pPr>
        <w:pStyle w:val="Default"/>
        <w:ind w:right="-569"/>
        <w:jc w:val="both"/>
        <w:rPr>
          <w:rFonts w:ascii="Bookman Old Style" w:hAnsi="Bookman Old Style"/>
          <w:color w:val="auto"/>
          <w:sz w:val="10"/>
          <w:szCs w:val="20"/>
        </w:rPr>
      </w:pPr>
    </w:p>
    <w:p w:rsidR="001016A7" w:rsidRPr="00CD13AA" w:rsidRDefault="001016A7" w:rsidP="001016A7">
      <w:pPr>
        <w:pStyle w:val="Default"/>
        <w:ind w:right="-569"/>
        <w:jc w:val="both"/>
        <w:rPr>
          <w:rFonts w:ascii="Bookman Old Style" w:hAnsi="Bookman Old Style"/>
          <w:b/>
          <w:bCs/>
          <w:color w:val="auto"/>
          <w:sz w:val="18"/>
          <w:szCs w:val="20"/>
        </w:rPr>
      </w:pPr>
      <w:r w:rsidRPr="00CD13AA">
        <w:rPr>
          <w:rFonts w:ascii="Bookman Old Style" w:hAnsi="Bookman Old Style"/>
          <w:b/>
          <w:bCs/>
          <w:color w:val="auto"/>
          <w:sz w:val="18"/>
          <w:szCs w:val="20"/>
        </w:rPr>
        <w:t xml:space="preserve">NB : Aucun dossier ne sera rendu aux postulants. </w:t>
      </w:r>
    </w:p>
    <w:p w:rsidR="001016A7" w:rsidRPr="00CD13AA" w:rsidRDefault="001016A7" w:rsidP="001016A7">
      <w:pPr>
        <w:pStyle w:val="Default"/>
        <w:ind w:right="-569"/>
        <w:jc w:val="both"/>
        <w:rPr>
          <w:rFonts w:ascii="Bookman Old Style" w:hAnsi="Bookman Old Style"/>
          <w:b/>
          <w:bCs/>
          <w:color w:val="auto"/>
          <w:sz w:val="10"/>
          <w:szCs w:val="20"/>
        </w:rPr>
      </w:pPr>
    </w:p>
    <w:p w:rsidR="001016A7" w:rsidRPr="00CD13AA" w:rsidRDefault="001016A7" w:rsidP="001016A7">
      <w:pPr>
        <w:pStyle w:val="Default"/>
        <w:ind w:right="-569"/>
        <w:jc w:val="both"/>
        <w:rPr>
          <w:rFonts w:ascii="Bookman Old Style" w:hAnsi="Bookman Old Style"/>
          <w:color w:val="auto"/>
          <w:sz w:val="18"/>
          <w:szCs w:val="20"/>
        </w:rPr>
      </w:pPr>
      <w:r w:rsidRPr="00CD13AA">
        <w:rPr>
          <w:rFonts w:ascii="Bookman Old Style" w:hAnsi="Bookman Old Style"/>
          <w:color w:val="auto"/>
          <w:sz w:val="18"/>
          <w:szCs w:val="20"/>
        </w:rPr>
        <w:t>Pour toutes informations complémentaires, les consultants peuvent se rapprocher auprès de l’ADAG.</w:t>
      </w:r>
    </w:p>
    <w:p w:rsidR="001016A7" w:rsidRPr="00CD13AA" w:rsidRDefault="001016A7" w:rsidP="001016A7">
      <w:pPr>
        <w:ind w:right="-567"/>
        <w:jc w:val="both"/>
        <w:rPr>
          <w:rFonts w:ascii="Calibri" w:eastAsia="Times New Roman" w:hAnsi="Calibri" w:cs="Calibri"/>
          <w:b/>
          <w:color w:val="000000"/>
          <w:sz w:val="16"/>
          <w:szCs w:val="18"/>
          <w:lang w:eastAsia="fr-FR"/>
        </w:rPr>
      </w:pPr>
    </w:p>
    <w:p w:rsidR="001016A7" w:rsidRPr="00CD13AA" w:rsidRDefault="007B6CF9" w:rsidP="001016A7">
      <w:pPr>
        <w:ind w:left="4962" w:right="-567"/>
        <w:jc w:val="both"/>
        <w:rPr>
          <w:rFonts w:ascii="Bookman Old Style" w:eastAsia="Times New Roman" w:hAnsi="Bookman Old Style" w:cs="Calibri"/>
          <w:b/>
          <w:color w:val="000000"/>
          <w:sz w:val="20"/>
          <w:szCs w:val="18"/>
          <w:lang w:eastAsia="fr-FR"/>
        </w:rPr>
      </w:pPr>
      <w:r>
        <w:rPr>
          <w:rFonts w:ascii="Bookman Old Style" w:eastAsia="Times New Roman" w:hAnsi="Bookman Old Style" w:cs="Calibri"/>
          <w:b/>
          <w:color w:val="000000"/>
          <w:sz w:val="20"/>
          <w:szCs w:val="18"/>
          <w:lang w:eastAsia="fr-FR"/>
        </w:rPr>
        <w:t xml:space="preserve"> </w:t>
      </w:r>
      <w:r w:rsidR="001016A7" w:rsidRPr="00CD13AA">
        <w:rPr>
          <w:rFonts w:ascii="Bookman Old Style" w:eastAsia="Times New Roman" w:hAnsi="Bookman Old Style" w:cs="Calibri"/>
          <w:b/>
          <w:color w:val="000000"/>
          <w:sz w:val="20"/>
          <w:szCs w:val="18"/>
          <w:lang w:eastAsia="fr-FR"/>
        </w:rPr>
        <w:t>Le Directeur Général</w:t>
      </w:r>
    </w:p>
    <w:p w:rsidR="001016A7" w:rsidRPr="00CD13AA" w:rsidRDefault="001016A7" w:rsidP="001016A7">
      <w:pPr>
        <w:ind w:left="4962" w:right="-567"/>
        <w:jc w:val="both"/>
        <w:rPr>
          <w:rFonts w:ascii="Bookman Old Style" w:eastAsia="Times New Roman" w:hAnsi="Bookman Old Style" w:cs="Calibri"/>
          <w:b/>
          <w:color w:val="000000"/>
          <w:sz w:val="20"/>
          <w:szCs w:val="18"/>
          <w:lang w:eastAsia="fr-FR"/>
        </w:rPr>
      </w:pPr>
    </w:p>
    <w:p w:rsidR="001016A7" w:rsidRPr="00CD13AA" w:rsidRDefault="001016A7" w:rsidP="001016A7">
      <w:pPr>
        <w:ind w:left="4962" w:right="-567"/>
        <w:jc w:val="both"/>
        <w:rPr>
          <w:rFonts w:ascii="Bookman Old Style" w:eastAsia="Times New Roman" w:hAnsi="Bookman Old Style" w:cs="Calibri"/>
          <w:b/>
          <w:color w:val="000000"/>
          <w:sz w:val="20"/>
          <w:szCs w:val="18"/>
          <w:lang w:eastAsia="fr-FR"/>
        </w:rPr>
      </w:pPr>
    </w:p>
    <w:p w:rsidR="001016A7" w:rsidRPr="00CD13AA" w:rsidRDefault="001016A7" w:rsidP="001016A7">
      <w:pPr>
        <w:ind w:left="4962" w:right="-567"/>
        <w:jc w:val="both"/>
        <w:rPr>
          <w:rFonts w:ascii="Bookman Old Style" w:eastAsia="Times New Roman" w:hAnsi="Bookman Old Style" w:cs="Calibri"/>
          <w:b/>
          <w:color w:val="000000"/>
          <w:sz w:val="20"/>
          <w:szCs w:val="18"/>
          <w:lang w:eastAsia="fr-FR"/>
        </w:rPr>
      </w:pPr>
    </w:p>
    <w:p w:rsidR="001016A7" w:rsidRPr="00CD13AA" w:rsidRDefault="001016A7" w:rsidP="001016A7">
      <w:pPr>
        <w:ind w:left="4962" w:right="-567"/>
        <w:jc w:val="both"/>
        <w:rPr>
          <w:rFonts w:ascii="Bookman Old Style" w:eastAsia="Times New Roman" w:hAnsi="Bookman Old Style" w:cs="Calibri"/>
          <w:b/>
          <w:color w:val="000000"/>
          <w:sz w:val="20"/>
          <w:szCs w:val="18"/>
          <w:lang w:eastAsia="fr-FR"/>
        </w:rPr>
      </w:pPr>
      <w:r w:rsidRPr="00CD13AA">
        <w:rPr>
          <w:rFonts w:ascii="Bookman Old Style" w:eastAsia="Times New Roman" w:hAnsi="Bookman Old Style" w:cs="Calibri"/>
          <w:b/>
          <w:color w:val="000000"/>
          <w:sz w:val="20"/>
          <w:szCs w:val="18"/>
          <w:lang w:eastAsia="fr-FR"/>
        </w:rPr>
        <w:t>Rolexin NGANGORI ADAMAS</w:t>
      </w:r>
    </w:p>
    <w:p w:rsidR="00F27F44" w:rsidRDefault="00F27F44" w:rsidP="001016A7">
      <w:pPr>
        <w:spacing w:after="0"/>
        <w:ind w:left="4962" w:right="-567"/>
        <w:jc w:val="both"/>
      </w:pPr>
    </w:p>
    <w:sectPr w:rsidR="00F27F44" w:rsidSect="007B6CF9">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B61"/>
    <w:multiLevelType w:val="hybridMultilevel"/>
    <w:tmpl w:val="8968C5C4"/>
    <w:lvl w:ilvl="0" w:tplc="46AE02CA">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EF0BF7"/>
    <w:multiLevelType w:val="hybridMultilevel"/>
    <w:tmpl w:val="DEC257AC"/>
    <w:lvl w:ilvl="0" w:tplc="46AE02CA">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3D09F0"/>
    <w:multiLevelType w:val="multilevel"/>
    <w:tmpl w:val="13CE42AA"/>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b/>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7F7C4D"/>
    <w:multiLevelType w:val="hybridMultilevel"/>
    <w:tmpl w:val="EAC066DA"/>
    <w:lvl w:ilvl="0" w:tplc="46AE02CA">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BC73E5"/>
    <w:multiLevelType w:val="hybridMultilevel"/>
    <w:tmpl w:val="C3F4180A"/>
    <w:lvl w:ilvl="0" w:tplc="C486D1F4">
      <w:start w:val="3"/>
      <w:numFmt w:val="bullet"/>
      <w:lvlText w:val="-"/>
      <w:lvlJc w:val="left"/>
      <w:pPr>
        <w:ind w:left="720" w:hanging="360"/>
      </w:pPr>
      <w:rPr>
        <w:rFonts w:ascii="Bookman Old Style" w:eastAsia="Times New Roman" w:hAnsi="Bookman Old Style" w:cs="Arial" w:hint="default"/>
      </w:rPr>
    </w:lvl>
    <w:lvl w:ilvl="1" w:tplc="C486D1F4">
      <w:start w:val="3"/>
      <w:numFmt w:val="bullet"/>
      <w:lvlText w:val="-"/>
      <w:lvlJc w:val="left"/>
      <w:pPr>
        <w:ind w:left="1440" w:hanging="360"/>
      </w:pPr>
      <w:rPr>
        <w:rFonts w:ascii="Bookman Old Style" w:eastAsia="Times New Roman" w:hAnsi="Bookman Old Styl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5A55C7"/>
    <w:multiLevelType w:val="hybridMultilevel"/>
    <w:tmpl w:val="A74A3E5A"/>
    <w:lvl w:ilvl="0" w:tplc="CE6C80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65"/>
    <w:rsid w:val="00005D27"/>
    <w:rsid w:val="001016A7"/>
    <w:rsid w:val="002C1FDD"/>
    <w:rsid w:val="003528B6"/>
    <w:rsid w:val="004431D7"/>
    <w:rsid w:val="00501E43"/>
    <w:rsid w:val="005C4A64"/>
    <w:rsid w:val="00623C1E"/>
    <w:rsid w:val="007B6CF9"/>
    <w:rsid w:val="008058D5"/>
    <w:rsid w:val="00892EC2"/>
    <w:rsid w:val="008D4D11"/>
    <w:rsid w:val="0099346C"/>
    <w:rsid w:val="00A70B65"/>
    <w:rsid w:val="00A71605"/>
    <w:rsid w:val="00B80F6A"/>
    <w:rsid w:val="00D51E3A"/>
    <w:rsid w:val="00DE0885"/>
    <w:rsid w:val="00F27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9C19C-9F53-4749-9C83-FB89A261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0B65"/>
    <w:pPr>
      <w:ind w:left="720"/>
      <w:contextualSpacing/>
    </w:pPr>
  </w:style>
  <w:style w:type="paragraph" w:customStyle="1" w:styleId="Default">
    <w:name w:val="Default"/>
    <w:rsid w:val="00101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1573</Words>
  <Characters>8653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ossende-Essanga</dc:creator>
  <cp:keywords/>
  <dc:description/>
  <cp:lastModifiedBy>Lazare ossende-Essanga</cp:lastModifiedBy>
  <cp:revision>1</cp:revision>
  <dcterms:created xsi:type="dcterms:W3CDTF">2020-12-16T22:28:00Z</dcterms:created>
  <dcterms:modified xsi:type="dcterms:W3CDTF">2020-12-23T01:47:00Z</dcterms:modified>
</cp:coreProperties>
</file>